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12A11" w14:textId="6E84A521" w:rsidR="001952AE" w:rsidRDefault="00001555" w:rsidP="006C42FF">
      <w:pPr>
        <w:pStyle w:val="Heading1"/>
        <w:tabs>
          <w:tab w:val="clear" w:pos="8568"/>
          <w:tab w:val="right" w:pos="6750"/>
        </w:tabs>
      </w:pPr>
      <w:bookmarkStart w:id="0" w:name="_GoBack"/>
      <w:bookmarkEnd w:id="0"/>
      <w:r>
        <w:t>Visual Resources</w:t>
      </w:r>
    </w:p>
    <w:p w14:paraId="1E712A12" w14:textId="77777777" w:rsidR="001952AE" w:rsidRDefault="00001555">
      <w:pPr>
        <w:pStyle w:val="2LOH"/>
        <w:numPr>
          <w:ilvl w:val="0"/>
          <w:numId w:val="5"/>
        </w:numPr>
        <w:tabs>
          <w:tab w:val="left" w:pos="-4680"/>
          <w:tab w:val="left" w:pos="-3780"/>
        </w:tabs>
        <w:spacing w:after="200" w:line="276" w:lineRule="auto"/>
        <w:ind w:hanging="1260"/>
      </w:pPr>
      <w:bookmarkStart w:id="1" w:name="_Hlk517952956"/>
      <w:r>
        <w:t>INTRODUCTIOn</w:t>
      </w:r>
    </w:p>
    <w:p w14:paraId="1E712A13" w14:textId="77777777" w:rsidR="001952AE" w:rsidRDefault="00001555">
      <w:pPr>
        <w:spacing w:after="200" w:line="276" w:lineRule="auto"/>
      </w:pPr>
      <w:bookmarkStart w:id="2" w:name="_Hlk517953049"/>
      <w:r>
        <w:rPr>
          <w:szCs w:val="22"/>
        </w:rPr>
        <w:t>An assessment of potential for visual impacts from the Proposed Action was performed.  The assessment was based on the guidance contained within the New York State Department of Environmental Conservation (“NYSDEC”) Program Policy “Assessing and Mitigating Visual Impacts,” (DEP-00-2)</w:t>
      </w:r>
      <w:r>
        <w:rPr>
          <w:rStyle w:val="FootnoteReference"/>
          <w:szCs w:val="22"/>
        </w:rPr>
        <w:footnoteReference w:id="2"/>
      </w:r>
      <w:r>
        <w:rPr>
          <w:szCs w:val="22"/>
        </w:rPr>
        <w:t xml:space="preserve">.  This Visual Resource attachment assesses the visual and aesthetic impacts of the Proposed Action on scenic, recreational and historical areas and identifies and examines the visual resources and the visual qualities of the landscape within a one-mile radius of the Proposed Action.  </w:t>
      </w:r>
    </w:p>
    <w:p w14:paraId="1E712A14" w14:textId="1E2D6914" w:rsidR="001952AE" w:rsidRDefault="00001555">
      <w:pPr>
        <w:spacing w:after="200" w:line="276" w:lineRule="auto"/>
      </w:pPr>
      <w:r>
        <w:rPr>
          <w:rFonts w:ascii="TimesNewRomanPSMT" w:hAnsi="TimesNewRomanPSMT" w:cs="TimesNewRomanPSMT"/>
          <w:szCs w:val="22"/>
        </w:rPr>
        <w:t xml:space="preserve">The Study Area is defined as a one-mile radius surrounding the OH transmission/distribution pole relocations from the east to the west side of NYS-112 between Granny Road and Old Port Jefferson Road (refer to Figure A-1: Visual Resources Map – </w:t>
      </w:r>
      <w:r>
        <w:rPr>
          <w:rFonts w:ascii="TimesNewRomanPSMT" w:hAnsi="TimesNewRomanPSMT" w:cs="TimesNewRomanPSMT"/>
          <w:b/>
          <w:szCs w:val="22"/>
        </w:rPr>
        <w:t>Appendix A</w:t>
      </w:r>
      <w:r>
        <w:rPr>
          <w:rFonts w:ascii="TimesNewRomanPSMT" w:hAnsi="TimesNewRomanPSMT" w:cs="TimesNewRomanPSMT"/>
          <w:szCs w:val="22"/>
        </w:rPr>
        <w:t xml:space="preserve">).  </w:t>
      </w:r>
      <w:r>
        <w:t>In the Study Area, the relocation of transmission poles from the east to west side of NYS-112 and the replacement of certain existing poles on the west side of NYS-112 will result in an increase of pole heights of more than 10 feet for three poles (13.5, 27 and 27 feet above ground level (agl)).  Also, there will be one less pole within the Study Area.  The visual impact analysis was limited to the</w:t>
      </w:r>
      <w:r>
        <w:rPr>
          <w:rFonts w:ascii="TimesNewRomanPSMT" w:hAnsi="TimesNewRomanPSMT" w:cs="TimesNewRomanPSMT"/>
          <w:szCs w:val="22"/>
        </w:rPr>
        <w:t xml:space="preserve"> one-mile radius Study Area because the flat topography limits potential viewsheds and the</w:t>
      </w:r>
      <w:r>
        <w:rPr>
          <w:szCs w:val="22"/>
        </w:rPr>
        <w:t xml:space="preserve"> replacement and relocation of 83 distribution poles</w:t>
      </w:r>
      <w:r w:rsidR="004D0C44">
        <w:rPr>
          <w:szCs w:val="22"/>
        </w:rPr>
        <w:t xml:space="preserve">, </w:t>
      </w:r>
      <w:r w:rsidR="004D0C44">
        <w:rPr>
          <w:rStyle w:val="normaltextrun"/>
          <w:color w:val="000000"/>
          <w:shd w:val="clear" w:color="auto" w:fill="FFFFFF"/>
        </w:rPr>
        <w:t>the installation of four new distribution poles,</w:t>
      </w:r>
      <w:r>
        <w:rPr>
          <w:szCs w:val="22"/>
        </w:rPr>
        <w:t xml:space="preserve"> and the switchgear installation outside of the Study Area do not involve a height increase of more than 10 feet.  </w:t>
      </w:r>
    </w:p>
    <w:p w14:paraId="1E712A15" w14:textId="77777777" w:rsidR="001952AE" w:rsidRDefault="00001555">
      <w:pPr>
        <w:autoSpaceDE w:val="0"/>
        <w:spacing w:after="200" w:line="276" w:lineRule="auto"/>
        <w:jc w:val="left"/>
      </w:pPr>
      <w:r>
        <w:rPr>
          <w:rFonts w:ascii="TimesNewRomanPSMT" w:hAnsi="TimesNewRomanPSMT" w:cs="TimesNewRomanPSMT"/>
          <w:szCs w:val="22"/>
        </w:rPr>
        <w:t xml:space="preserve">A summary of the transmission and distribution pole modifications in the Study Area are presented in </w:t>
      </w:r>
      <w:r>
        <w:rPr>
          <w:rFonts w:ascii="TimesNewRomanPS-BoldMT" w:hAnsi="TimesNewRomanPS-BoldMT" w:cs="TimesNewRomanPS-BoldMT"/>
          <w:b/>
          <w:bCs/>
          <w:szCs w:val="22"/>
        </w:rPr>
        <w:t xml:space="preserve">Table 1 </w:t>
      </w:r>
      <w:r>
        <w:rPr>
          <w:rFonts w:ascii="TimesNewRomanPSMT" w:hAnsi="TimesNewRomanPSMT" w:cs="TimesNewRomanPSMT"/>
          <w:szCs w:val="22"/>
        </w:rPr>
        <w:t>below.</w:t>
      </w:r>
    </w:p>
    <w:p w14:paraId="1E712A16" w14:textId="77777777" w:rsidR="008C1F43" w:rsidRDefault="008C1F43">
      <w:pPr>
        <w:sectPr w:rsidR="008C1F43">
          <w:headerReference w:type="even" r:id="rId12"/>
          <w:headerReference w:type="default" r:id="rId13"/>
          <w:footerReference w:type="even" r:id="rId14"/>
          <w:footerReference w:type="default" r:id="rId15"/>
          <w:footerReference w:type="first" r:id="rId16"/>
          <w:pgSz w:w="12240" w:h="15840"/>
          <w:pgMar w:top="1800" w:right="1530" w:bottom="1440" w:left="1800" w:header="1440" w:footer="720" w:gutter="0"/>
          <w:cols w:space="720"/>
          <w:titlePg/>
        </w:sectPr>
      </w:pPr>
    </w:p>
    <w:p w14:paraId="1E712A17" w14:textId="77777777" w:rsidR="001952AE" w:rsidRDefault="00001555">
      <w:pPr>
        <w:overflowPunct w:val="0"/>
        <w:autoSpaceDE w:val="0"/>
        <w:spacing w:before="10" w:after="1"/>
        <w:jc w:val="center"/>
        <w:rPr>
          <w:rFonts w:ascii="TimesNewRomanPSMT" w:hAnsi="TimesNewRomanPSMT" w:cs="TimesNewRomanPSMT"/>
          <w:b/>
          <w:szCs w:val="22"/>
        </w:rPr>
      </w:pPr>
      <w:r>
        <w:rPr>
          <w:rFonts w:ascii="TimesNewRomanPSMT" w:hAnsi="TimesNewRomanPSMT" w:cs="TimesNewRomanPSMT"/>
          <w:b/>
          <w:szCs w:val="22"/>
        </w:rPr>
        <w:lastRenderedPageBreak/>
        <w:t>Table 1: Pole Modifications in the Study Area</w:t>
      </w:r>
    </w:p>
    <w:tbl>
      <w:tblPr>
        <w:tblW w:w="8766" w:type="dxa"/>
        <w:jc w:val="center"/>
        <w:tblCellMar>
          <w:left w:w="10" w:type="dxa"/>
          <w:right w:w="10" w:type="dxa"/>
        </w:tblCellMar>
        <w:tblLook w:val="04A0" w:firstRow="1" w:lastRow="0" w:firstColumn="1" w:lastColumn="0" w:noHBand="0" w:noVBand="1"/>
      </w:tblPr>
      <w:tblGrid>
        <w:gridCol w:w="1368"/>
        <w:gridCol w:w="1710"/>
        <w:gridCol w:w="2250"/>
        <w:gridCol w:w="1620"/>
        <w:gridCol w:w="1818"/>
      </w:tblGrid>
      <w:tr w:rsidR="001952AE" w14:paraId="1E712A1D" w14:textId="77777777">
        <w:trPr>
          <w:cantSplit/>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18" w14:textId="77777777" w:rsidR="001952AE" w:rsidRDefault="00001555">
            <w:pPr>
              <w:overflowPunct w:val="0"/>
              <w:autoSpaceDE w:val="0"/>
              <w:spacing w:before="100" w:after="100"/>
              <w:jc w:val="left"/>
              <w:rPr>
                <w:b/>
                <w:sz w:val="20"/>
                <w:szCs w:val="20"/>
              </w:rPr>
            </w:pPr>
            <w:r>
              <w:rPr>
                <w:b/>
                <w:sz w:val="20"/>
                <w:szCs w:val="20"/>
              </w:rPr>
              <w:t>Existing Pole 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19" w14:textId="77777777" w:rsidR="001952AE" w:rsidRDefault="00001555">
            <w:pPr>
              <w:overflowPunct w:val="0"/>
              <w:autoSpaceDE w:val="0"/>
              <w:spacing w:before="100" w:after="100"/>
              <w:jc w:val="left"/>
              <w:rPr>
                <w:b/>
                <w:sz w:val="20"/>
                <w:szCs w:val="20"/>
              </w:rPr>
            </w:pPr>
            <w:r>
              <w:rPr>
                <w:b/>
                <w:sz w:val="20"/>
                <w:szCs w:val="20"/>
              </w:rPr>
              <w:t xml:space="preserve">Existing Height after embedment (feet above ground level (agl))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1A" w14:textId="77777777" w:rsidR="001952AE" w:rsidRDefault="00001555">
            <w:pPr>
              <w:overflowPunct w:val="0"/>
              <w:autoSpaceDE w:val="0"/>
              <w:spacing w:before="100" w:after="100"/>
              <w:jc w:val="left"/>
              <w:rPr>
                <w:b/>
                <w:sz w:val="20"/>
                <w:szCs w:val="20"/>
              </w:rPr>
            </w:pPr>
            <w:r>
              <w:rPr>
                <w:b/>
                <w:sz w:val="20"/>
                <w:szCs w:val="20"/>
              </w:rPr>
              <w:t xml:space="preserve">Action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1B" w14:textId="77777777" w:rsidR="001952AE" w:rsidRDefault="00001555">
            <w:pPr>
              <w:overflowPunct w:val="0"/>
              <w:autoSpaceDE w:val="0"/>
              <w:spacing w:before="100" w:after="100"/>
              <w:jc w:val="left"/>
              <w:rPr>
                <w:b/>
                <w:sz w:val="20"/>
                <w:szCs w:val="20"/>
              </w:rPr>
            </w:pPr>
            <w:r>
              <w:rPr>
                <w:b/>
                <w:sz w:val="20"/>
                <w:szCs w:val="20"/>
              </w:rPr>
              <w:t>Proposed Height after embedment (feet above ground level (agl))**</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1C" w14:textId="77777777" w:rsidR="001952AE" w:rsidRDefault="00001555">
            <w:pPr>
              <w:overflowPunct w:val="0"/>
              <w:autoSpaceDE w:val="0"/>
              <w:spacing w:before="100" w:after="100"/>
              <w:jc w:val="left"/>
              <w:rPr>
                <w:b/>
                <w:sz w:val="20"/>
                <w:szCs w:val="20"/>
              </w:rPr>
            </w:pPr>
            <w:r>
              <w:rPr>
                <w:b/>
                <w:sz w:val="20"/>
                <w:szCs w:val="20"/>
              </w:rPr>
              <w:t>Change in height after embedment (feet, +/-)</w:t>
            </w:r>
          </w:p>
        </w:tc>
      </w:tr>
      <w:tr w:rsidR="001952AE" w14:paraId="1E712A23" w14:textId="77777777">
        <w:trPr>
          <w:cantSplit/>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1E" w14:textId="77777777" w:rsidR="001952AE" w:rsidRDefault="00001555">
            <w:pPr>
              <w:overflowPunct w:val="0"/>
              <w:autoSpaceDE w:val="0"/>
              <w:spacing w:before="100" w:after="100"/>
              <w:jc w:val="left"/>
              <w:rPr>
                <w:sz w:val="20"/>
                <w:szCs w:val="20"/>
              </w:rPr>
            </w:pPr>
            <w:r>
              <w:rPr>
                <w:sz w:val="20"/>
                <w:szCs w:val="20"/>
              </w:rPr>
              <w:t>77</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1F" w14:textId="77777777" w:rsidR="001952AE" w:rsidRDefault="00001555">
            <w:pPr>
              <w:overflowPunct w:val="0"/>
              <w:autoSpaceDE w:val="0"/>
              <w:spacing w:before="100" w:after="100"/>
              <w:jc w:val="left"/>
              <w:rPr>
                <w:sz w:val="20"/>
                <w:szCs w:val="20"/>
              </w:rPr>
            </w:pPr>
            <w:r>
              <w:rPr>
                <w:sz w:val="20"/>
                <w:szCs w:val="20"/>
              </w:rPr>
              <w:t>47.5</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20" w14:textId="77777777" w:rsidR="001952AE" w:rsidRDefault="00001555">
            <w:pPr>
              <w:overflowPunct w:val="0"/>
              <w:autoSpaceDE w:val="0"/>
              <w:spacing w:before="100" w:after="100"/>
              <w:jc w:val="left"/>
              <w:rPr>
                <w:sz w:val="20"/>
                <w:szCs w:val="20"/>
              </w:rPr>
            </w:pPr>
            <w:r>
              <w:rPr>
                <w:sz w:val="20"/>
                <w:szCs w:val="20"/>
              </w:rPr>
              <w:t>Replacement (west)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21" w14:textId="77777777" w:rsidR="001952AE" w:rsidRDefault="00001555">
            <w:pPr>
              <w:overflowPunct w:val="0"/>
              <w:autoSpaceDE w:val="0"/>
              <w:spacing w:before="100" w:after="100"/>
              <w:jc w:val="left"/>
              <w:rPr>
                <w:sz w:val="20"/>
                <w:szCs w:val="20"/>
              </w:rPr>
            </w:pPr>
            <w:r>
              <w:rPr>
                <w:sz w:val="20"/>
                <w:szCs w:val="20"/>
              </w:rPr>
              <w:t>52</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22" w14:textId="77777777" w:rsidR="001952AE" w:rsidRDefault="00001555">
            <w:pPr>
              <w:overflowPunct w:val="0"/>
              <w:autoSpaceDE w:val="0"/>
              <w:spacing w:before="100" w:after="100"/>
              <w:jc w:val="left"/>
              <w:rPr>
                <w:sz w:val="20"/>
                <w:szCs w:val="20"/>
              </w:rPr>
            </w:pPr>
            <w:r>
              <w:rPr>
                <w:sz w:val="20"/>
                <w:szCs w:val="20"/>
              </w:rPr>
              <w:t>4.5</w:t>
            </w:r>
          </w:p>
        </w:tc>
      </w:tr>
      <w:tr w:rsidR="001952AE" w14:paraId="1E712A29" w14:textId="77777777">
        <w:trPr>
          <w:cantSplit/>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24" w14:textId="77777777" w:rsidR="001952AE" w:rsidRDefault="00001555">
            <w:pPr>
              <w:overflowPunct w:val="0"/>
              <w:autoSpaceDE w:val="0"/>
              <w:spacing w:before="100" w:after="100"/>
              <w:jc w:val="left"/>
              <w:rPr>
                <w:sz w:val="20"/>
                <w:szCs w:val="20"/>
              </w:rPr>
            </w:pPr>
            <w:r>
              <w:rPr>
                <w:sz w:val="20"/>
                <w:szCs w:val="20"/>
              </w:rPr>
              <w:t>78.5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25" w14:textId="77777777" w:rsidR="001952AE" w:rsidRDefault="00001555">
            <w:pPr>
              <w:overflowPunct w:val="0"/>
              <w:autoSpaceDE w:val="0"/>
              <w:spacing w:before="100" w:after="100"/>
              <w:jc w:val="left"/>
              <w:rPr>
                <w:sz w:val="20"/>
                <w:szCs w:val="20"/>
              </w:rPr>
            </w:pPr>
            <w:r>
              <w:rPr>
                <w:sz w:val="20"/>
                <w:szCs w:val="20"/>
              </w:rPr>
              <w:t>61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26" w14:textId="77777777" w:rsidR="001952AE" w:rsidRDefault="00001555">
            <w:pPr>
              <w:overflowPunct w:val="0"/>
              <w:autoSpaceDE w:val="0"/>
              <w:spacing w:before="100" w:after="100"/>
              <w:jc w:val="left"/>
              <w:rPr>
                <w:sz w:val="20"/>
                <w:szCs w:val="20"/>
              </w:rPr>
            </w:pPr>
            <w:r>
              <w:rPr>
                <w:sz w:val="20"/>
                <w:szCs w:val="20"/>
              </w:rPr>
              <w:t>Relocation (north to south)</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27" w14:textId="77777777" w:rsidR="001952AE" w:rsidRDefault="00001555">
            <w:pPr>
              <w:overflowPunct w:val="0"/>
              <w:autoSpaceDE w:val="0"/>
              <w:spacing w:before="100" w:after="100"/>
              <w:jc w:val="left"/>
              <w:rPr>
                <w:sz w:val="20"/>
                <w:szCs w:val="20"/>
              </w:rPr>
            </w:pPr>
            <w:r>
              <w:rPr>
                <w:sz w:val="20"/>
                <w:szCs w:val="20"/>
              </w:rPr>
              <w:t>65.5</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28" w14:textId="77777777" w:rsidR="001952AE" w:rsidRDefault="00001555">
            <w:pPr>
              <w:overflowPunct w:val="0"/>
              <w:autoSpaceDE w:val="0"/>
              <w:spacing w:before="100" w:after="100"/>
              <w:jc w:val="left"/>
              <w:rPr>
                <w:sz w:val="20"/>
                <w:szCs w:val="20"/>
              </w:rPr>
            </w:pPr>
            <w:r>
              <w:rPr>
                <w:sz w:val="20"/>
                <w:szCs w:val="20"/>
              </w:rPr>
              <w:t>4.5</w:t>
            </w:r>
          </w:p>
        </w:tc>
      </w:tr>
      <w:tr w:rsidR="001952AE" w14:paraId="1E712A2F" w14:textId="77777777">
        <w:trPr>
          <w:cantSplit/>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2A" w14:textId="77777777" w:rsidR="001952AE" w:rsidRDefault="00001555">
            <w:pPr>
              <w:overflowPunct w:val="0"/>
              <w:autoSpaceDE w:val="0"/>
              <w:spacing w:before="100" w:after="100"/>
              <w:jc w:val="left"/>
              <w:rPr>
                <w:sz w:val="20"/>
                <w:szCs w:val="20"/>
              </w:rPr>
            </w:pPr>
            <w:r>
              <w:rPr>
                <w:sz w:val="20"/>
                <w:szCs w:val="20"/>
              </w:rPr>
              <w:t>79</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2B" w14:textId="77777777" w:rsidR="001952AE" w:rsidRDefault="00001555">
            <w:pPr>
              <w:overflowPunct w:val="0"/>
              <w:autoSpaceDE w:val="0"/>
              <w:spacing w:before="100" w:after="100"/>
              <w:jc w:val="left"/>
              <w:rPr>
                <w:sz w:val="20"/>
                <w:szCs w:val="20"/>
              </w:rPr>
            </w:pPr>
            <w:r>
              <w:rPr>
                <w:sz w:val="20"/>
                <w:szCs w:val="20"/>
              </w:rPr>
              <w:t>52</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2C" w14:textId="77777777" w:rsidR="001952AE" w:rsidRDefault="00001555">
            <w:pPr>
              <w:overflowPunct w:val="0"/>
              <w:autoSpaceDE w:val="0"/>
              <w:spacing w:before="100" w:after="100"/>
              <w:jc w:val="left"/>
              <w:rPr>
                <w:sz w:val="20"/>
                <w:szCs w:val="20"/>
              </w:rPr>
            </w:pPr>
            <w:r>
              <w:rPr>
                <w:sz w:val="20"/>
                <w:szCs w:val="20"/>
              </w:rPr>
              <w:t>Relocation (east to west)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2D" w14:textId="77777777" w:rsidR="001952AE" w:rsidRDefault="00001555">
            <w:pPr>
              <w:overflowPunct w:val="0"/>
              <w:autoSpaceDE w:val="0"/>
              <w:spacing w:before="100" w:after="100"/>
              <w:jc w:val="left"/>
              <w:rPr>
                <w:sz w:val="20"/>
                <w:szCs w:val="20"/>
              </w:rPr>
            </w:pPr>
            <w:r>
              <w:rPr>
                <w:sz w:val="20"/>
                <w:szCs w:val="20"/>
              </w:rPr>
              <w:t>65.5</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2E" w14:textId="77777777" w:rsidR="001952AE" w:rsidRDefault="00001555">
            <w:pPr>
              <w:overflowPunct w:val="0"/>
              <w:autoSpaceDE w:val="0"/>
              <w:spacing w:before="100" w:after="100"/>
              <w:jc w:val="left"/>
              <w:rPr>
                <w:sz w:val="20"/>
                <w:szCs w:val="20"/>
              </w:rPr>
            </w:pPr>
            <w:r>
              <w:rPr>
                <w:sz w:val="20"/>
                <w:szCs w:val="20"/>
              </w:rPr>
              <w:t>13.5</w:t>
            </w:r>
          </w:p>
        </w:tc>
      </w:tr>
      <w:tr w:rsidR="001952AE" w14:paraId="1E712A35" w14:textId="77777777">
        <w:trPr>
          <w:cantSplit/>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30" w14:textId="77777777" w:rsidR="001952AE" w:rsidRDefault="00001555">
            <w:pPr>
              <w:overflowPunct w:val="0"/>
              <w:autoSpaceDE w:val="0"/>
              <w:spacing w:before="100" w:after="100"/>
              <w:jc w:val="left"/>
              <w:rPr>
                <w:sz w:val="20"/>
                <w:szCs w:val="20"/>
              </w:rPr>
            </w:pPr>
            <w:r>
              <w:rPr>
                <w:sz w:val="20"/>
                <w:szCs w:val="20"/>
              </w:rPr>
              <w:t>244</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31" w14:textId="77777777" w:rsidR="001952AE" w:rsidRDefault="00001555">
            <w:pPr>
              <w:overflowPunct w:val="0"/>
              <w:autoSpaceDE w:val="0"/>
              <w:spacing w:before="100" w:after="100"/>
              <w:jc w:val="left"/>
              <w:rPr>
                <w:sz w:val="20"/>
                <w:szCs w:val="20"/>
              </w:rPr>
            </w:pPr>
            <w:r>
              <w:rPr>
                <w:sz w:val="20"/>
                <w:szCs w:val="20"/>
              </w:rPr>
              <w:t>38.5</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32" w14:textId="77777777" w:rsidR="001952AE" w:rsidRDefault="00001555">
            <w:pPr>
              <w:overflowPunct w:val="0"/>
              <w:autoSpaceDE w:val="0"/>
              <w:spacing w:before="100" w:after="100"/>
              <w:jc w:val="left"/>
              <w:rPr>
                <w:sz w:val="20"/>
                <w:szCs w:val="20"/>
              </w:rPr>
            </w:pPr>
            <w:r>
              <w:rPr>
                <w:sz w:val="20"/>
                <w:szCs w:val="20"/>
              </w:rPr>
              <w:t>Relocation (north to south), re-number as #79.5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33" w14:textId="77777777" w:rsidR="001952AE" w:rsidRDefault="00001555">
            <w:pPr>
              <w:overflowPunct w:val="0"/>
              <w:autoSpaceDE w:val="0"/>
              <w:spacing w:before="100" w:after="100"/>
              <w:jc w:val="left"/>
              <w:rPr>
                <w:sz w:val="20"/>
                <w:szCs w:val="20"/>
              </w:rPr>
            </w:pPr>
            <w:r>
              <w:rPr>
                <w:sz w:val="20"/>
                <w:szCs w:val="20"/>
              </w:rPr>
              <w:t>65.5</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34" w14:textId="77777777" w:rsidR="001952AE" w:rsidRDefault="00001555">
            <w:pPr>
              <w:overflowPunct w:val="0"/>
              <w:autoSpaceDE w:val="0"/>
              <w:spacing w:before="100" w:after="100"/>
              <w:jc w:val="left"/>
              <w:rPr>
                <w:sz w:val="20"/>
                <w:szCs w:val="20"/>
              </w:rPr>
            </w:pPr>
            <w:r>
              <w:rPr>
                <w:sz w:val="20"/>
                <w:szCs w:val="20"/>
              </w:rPr>
              <w:t>27</w:t>
            </w:r>
          </w:p>
        </w:tc>
      </w:tr>
      <w:tr w:rsidR="001952AE" w14:paraId="1E712A3C" w14:textId="77777777">
        <w:trPr>
          <w:cantSplit/>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36" w14:textId="77777777" w:rsidR="001952AE" w:rsidRDefault="00001555">
            <w:pPr>
              <w:overflowPunct w:val="0"/>
              <w:autoSpaceDE w:val="0"/>
              <w:spacing w:before="100" w:after="100"/>
              <w:jc w:val="left"/>
              <w:rPr>
                <w:sz w:val="20"/>
                <w:szCs w:val="20"/>
              </w:rPr>
            </w:pPr>
            <w:r>
              <w:rPr>
                <w:sz w:val="20"/>
                <w:szCs w:val="20"/>
              </w:rPr>
              <w:t>80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37" w14:textId="77777777" w:rsidR="001952AE" w:rsidRDefault="00001555">
            <w:pPr>
              <w:overflowPunct w:val="0"/>
              <w:autoSpaceDE w:val="0"/>
              <w:spacing w:before="100" w:after="100"/>
              <w:jc w:val="left"/>
              <w:rPr>
                <w:sz w:val="20"/>
                <w:szCs w:val="20"/>
              </w:rPr>
            </w:pPr>
            <w:r>
              <w:rPr>
                <w:sz w:val="20"/>
                <w:szCs w:val="20"/>
              </w:rPr>
              <w:t>56.5</w:t>
            </w:r>
          </w:p>
          <w:p w14:paraId="1E712A38" w14:textId="77777777" w:rsidR="001952AE" w:rsidRDefault="001952AE">
            <w:pPr>
              <w:overflowPunct w:val="0"/>
              <w:autoSpaceDE w:val="0"/>
              <w:spacing w:before="100" w:after="100"/>
              <w:jc w:val="left"/>
              <w:rPr>
                <w:sz w:val="20"/>
                <w:szCs w:val="20"/>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39" w14:textId="77777777" w:rsidR="001952AE" w:rsidRDefault="00001555">
            <w:pPr>
              <w:overflowPunct w:val="0"/>
              <w:autoSpaceDE w:val="0"/>
              <w:spacing w:before="100" w:after="100"/>
              <w:jc w:val="left"/>
              <w:rPr>
                <w:sz w:val="20"/>
                <w:szCs w:val="20"/>
              </w:rPr>
            </w:pPr>
            <w:r>
              <w:rPr>
                <w:sz w:val="20"/>
                <w:szCs w:val="20"/>
              </w:rPr>
              <w:t>Relocation (east to west)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3A" w14:textId="77777777" w:rsidR="001952AE" w:rsidRDefault="00001555">
            <w:pPr>
              <w:overflowPunct w:val="0"/>
              <w:autoSpaceDE w:val="0"/>
              <w:spacing w:before="100" w:after="100"/>
              <w:jc w:val="left"/>
              <w:rPr>
                <w:sz w:val="20"/>
                <w:szCs w:val="20"/>
              </w:rPr>
            </w:pPr>
            <w:r>
              <w:rPr>
                <w:sz w:val="20"/>
                <w:szCs w:val="20"/>
              </w:rPr>
              <w:t>65.5</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3B" w14:textId="77777777" w:rsidR="001952AE" w:rsidRDefault="00001555">
            <w:pPr>
              <w:overflowPunct w:val="0"/>
              <w:autoSpaceDE w:val="0"/>
              <w:spacing w:before="100" w:after="100"/>
              <w:jc w:val="left"/>
              <w:rPr>
                <w:sz w:val="20"/>
                <w:szCs w:val="20"/>
              </w:rPr>
            </w:pPr>
            <w:r>
              <w:rPr>
                <w:sz w:val="20"/>
                <w:szCs w:val="20"/>
              </w:rPr>
              <w:t>9</w:t>
            </w:r>
          </w:p>
        </w:tc>
      </w:tr>
      <w:tr w:rsidR="001952AE" w14:paraId="1E712A42" w14:textId="77777777">
        <w:trPr>
          <w:cantSplit/>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3D" w14:textId="77777777" w:rsidR="001952AE" w:rsidRDefault="00001555">
            <w:pPr>
              <w:overflowPunct w:val="0"/>
              <w:autoSpaceDE w:val="0"/>
              <w:spacing w:before="100" w:after="100"/>
              <w:jc w:val="left"/>
              <w:rPr>
                <w:sz w:val="20"/>
                <w:szCs w:val="20"/>
              </w:rPr>
            </w:pPr>
            <w:r>
              <w:rPr>
                <w:sz w:val="20"/>
                <w:szCs w:val="20"/>
              </w:rPr>
              <w:t>245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3E" w14:textId="77777777" w:rsidR="001952AE" w:rsidRDefault="00001555">
            <w:pPr>
              <w:overflowPunct w:val="0"/>
              <w:autoSpaceDE w:val="0"/>
              <w:spacing w:before="100" w:after="100"/>
              <w:jc w:val="left"/>
              <w:rPr>
                <w:sz w:val="20"/>
                <w:szCs w:val="20"/>
              </w:rPr>
            </w:pPr>
            <w:r>
              <w:rPr>
                <w:sz w:val="20"/>
                <w:szCs w:val="20"/>
              </w:rPr>
              <w:t>38.5</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3F" w14:textId="77777777" w:rsidR="001952AE" w:rsidRDefault="00001555">
            <w:pPr>
              <w:overflowPunct w:val="0"/>
              <w:autoSpaceDE w:val="0"/>
              <w:spacing w:before="100" w:after="100"/>
              <w:jc w:val="left"/>
              <w:rPr>
                <w:sz w:val="20"/>
                <w:szCs w:val="20"/>
              </w:rPr>
            </w:pPr>
            <w:r>
              <w:rPr>
                <w:sz w:val="20"/>
                <w:szCs w:val="20"/>
              </w:rPr>
              <w:t>Removal (west), pole #80 above  to be relocated to existing location of pole #245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40" w14:textId="77777777" w:rsidR="001952AE" w:rsidRDefault="00001555">
            <w:pPr>
              <w:overflowPunct w:val="0"/>
              <w:autoSpaceDE w:val="0"/>
              <w:spacing w:before="100" w:after="100"/>
              <w:jc w:val="left"/>
              <w:rPr>
                <w:sz w:val="20"/>
                <w:szCs w:val="20"/>
              </w:rPr>
            </w:pPr>
            <w:r>
              <w:rPr>
                <w:sz w:val="20"/>
                <w:szCs w:val="20"/>
              </w:rPr>
              <w:t>--</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41" w14:textId="77777777" w:rsidR="001952AE" w:rsidRDefault="00001555">
            <w:pPr>
              <w:overflowPunct w:val="0"/>
              <w:autoSpaceDE w:val="0"/>
              <w:spacing w:before="100" w:after="100"/>
              <w:jc w:val="left"/>
              <w:rPr>
                <w:sz w:val="20"/>
                <w:szCs w:val="20"/>
              </w:rPr>
            </w:pPr>
            <w:r>
              <w:rPr>
                <w:sz w:val="20"/>
                <w:szCs w:val="20"/>
              </w:rPr>
              <w:t>--</w:t>
            </w:r>
          </w:p>
        </w:tc>
      </w:tr>
      <w:tr w:rsidR="001952AE" w14:paraId="1E712A48" w14:textId="77777777">
        <w:trPr>
          <w:cantSplit/>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43" w14:textId="77777777" w:rsidR="001952AE" w:rsidRDefault="00001555">
            <w:pPr>
              <w:overflowPunct w:val="0"/>
              <w:autoSpaceDE w:val="0"/>
              <w:spacing w:before="100" w:after="100"/>
              <w:jc w:val="left"/>
              <w:rPr>
                <w:sz w:val="20"/>
                <w:szCs w:val="20"/>
              </w:rPr>
            </w:pPr>
            <w:r>
              <w:rPr>
                <w:sz w:val="20"/>
                <w:szCs w:val="20"/>
              </w:rPr>
              <w:t>246</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44" w14:textId="77777777" w:rsidR="001952AE" w:rsidRDefault="00001555">
            <w:pPr>
              <w:overflowPunct w:val="0"/>
              <w:autoSpaceDE w:val="0"/>
              <w:spacing w:before="100" w:after="100"/>
              <w:jc w:val="left"/>
              <w:rPr>
                <w:sz w:val="20"/>
                <w:szCs w:val="20"/>
              </w:rPr>
            </w:pPr>
            <w:r>
              <w:rPr>
                <w:sz w:val="20"/>
                <w:szCs w:val="20"/>
              </w:rPr>
              <w:t>38.5</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45" w14:textId="77777777" w:rsidR="001952AE" w:rsidRDefault="00001555">
            <w:pPr>
              <w:overflowPunct w:val="0"/>
              <w:autoSpaceDE w:val="0"/>
              <w:spacing w:before="100" w:after="100"/>
              <w:jc w:val="left"/>
              <w:rPr>
                <w:sz w:val="20"/>
                <w:szCs w:val="20"/>
              </w:rPr>
            </w:pPr>
            <w:r>
              <w:rPr>
                <w:sz w:val="20"/>
                <w:szCs w:val="20"/>
              </w:rPr>
              <w:t>Replacement (west), re-number as #80.5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46" w14:textId="77777777" w:rsidR="001952AE" w:rsidRDefault="00001555">
            <w:pPr>
              <w:overflowPunct w:val="0"/>
              <w:autoSpaceDE w:val="0"/>
              <w:spacing w:before="100" w:after="100"/>
              <w:jc w:val="left"/>
              <w:rPr>
                <w:sz w:val="20"/>
                <w:szCs w:val="20"/>
              </w:rPr>
            </w:pPr>
            <w:r>
              <w:rPr>
                <w:sz w:val="20"/>
                <w:szCs w:val="20"/>
              </w:rPr>
              <w:t>65.5</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47" w14:textId="77777777" w:rsidR="001952AE" w:rsidRDefault="00001555">
            <w:pPr>
              <w:overflowPunct w:val="0"/>
              <w:autoSpaceDE w:val="0"/>
              <w:spacing w:before="100" w:after="100"/>
              <w:jc w:val="left"/>
              <w:rPr>
                <w:sz w:val="20"/>
                <w:szCs w:val="20"/>
              </w:rPr>
            </w:pPr>
            <w:r>
              <w:rPr>
                <w:sz w:val="20"/>
                <w:szCs w:val="20"/>
              </w:rPr>
              <w:t>27</w:t>
            </w:r>
          </w:p>
        </w:tc>
      </w:tr>
      <w:tr w:rsidR="001952AE" w14:paraId="1E712A4E" w14:textId="77777777">
        <w:trPr>
          <w:cantSplit/>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49" w14:textId="77777777" w:rsidR="001952AE" w:rsidRDefault="00001555">
            <w:pPr>
              <w:overflowPunct w:val="0"/>
              <w:autoSpaceDE w:val="0"/>
              <w:spacing w:before="100" w:after="100"/>
              <w:jc w:val="left"/>
              <w:rPr>
                <w:sz w:val="20"/>
                <w:szCs w:val="20"/>
              </w:rPr>
            </w:pPr>
            <w:r>
              <w:rPr>
                <w:sz w:val="20"/>
                <w:szCs w:val="20"/>
              </w:rPr>
              <w:t>81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4A" w14:textId="77777777" w:rsidR="001952AE" w:rsidRDefault="00001555">
            <w:pPr>
              <w:overflowPunct w:val="0"/>
              <w:autoSpaceDE w:val="0"/>
              <w:spacing w:before="100" w:after="100"/>
              <w:jc w:val="left"/>
              <w:rPr>
                <w:sz w:val="20"/>
                <w:szCs w:val="20"/>
              </w:rPr>
            </w:pPr>
            <w:r>
              <w:rPr>
                <w:sz w:val="20"/>
                <w:szCs w:val="20"/>
              </w:rPr>
              <w:t>56.5</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4B" w14:textId="77777777" w:rsidR="001952AE" w:rsidRDefault="00001555">
            <w:pPr>
              <w:overflowPunct w:val="0"/>
              <w:autoSpaceDE w:val="0"/>
              <w:spacing w:before="100" w:after="100"/>
              <w:jc w:val="left"/>
              <w:rPr>
                <w:sz w:val="20"/>
                <w:szCs w:val="20"/>
              </w:rPr>
            </w:pPr>
            <w:r>
              <w:rPr>
                <w:sz w:val="20"/>
                <w:szCs w:val="20"/>
              </w:rPr>
              <w:t>Relocation (east to west)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4C" w14:textId="77777777" w:rsidR="001952AE" w:rsidRDefault="00001555">
            <w:pPr>
              <w:overflowPunct w:val="0"/>
              <w:autoSpaceDE w:val="0"/>
              <w:spacing w:before="100" w:after="100"/>
              <w:jc w:val="left"/>
              <w:rPr>
                <w:sz w:val="20"/>
                <w:szCs w:val="20"/>
              </w:rPr>
            </w:pPr>
            <w:r>
              <w:rPr>
                <w:sz w:val="20"/>
                <w:szCs w:val="20"/>
              </w:rPr>
              <w:t>65.5</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4D" w14:textId="77777777" w:rsidR="001952AE" w:rsidRDefault="00001555">
            <w:pPr>
              <w:overflowPunct w:val="0"/>
              <w:autoSpaceDE w:val="0"/>
              <w:spacing w:before="100" w:after="100"/>
              <w:jc w:val="left"/>
              <w:rPr>
                <w:sz w:val="20"/>
                <w:szCs w:val="20"/>
              </w:rPr>
            </w:pPr>
            <w:r>
              <w:rPr>
                <w:sz w:val="20"/>
                <w:szCs w:val="20"/>
              </w:rPr>
              <w:t>9</w:t>
            </w:r>
          </w:p>
        </w:tc>
      </w:tr>
      <w:tr w:rsidR="001952AE" w14:paraId="1E712A54" w14:textId="77777777">
        <w:trPr>
          <w:cantSplit/>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4F" w14:textId="77777777" w:rsidR="001952AE" w:rsidRDefault="00001555">
            <w:pPr>
              <w:overflowPunct w:val="0"/>
              <w:autoSpaceDE w:val="0"/>
              <w:spacing w:before="100" w:after="100"/>
              <w:jc w:val="left"/>
              <w:rPr>
                <w:sz w:val="20"/>
                <w:szCs w:val="20"/>
              </w:rPr>
            </w:pPr>
            <w:r>
              <w:rPr>
                <w:sz w:val="20"/>
                <w:szCs w:val="20"/>
              </w:rPr>
              <w:t>247</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0" w14:textId="77777777" w:rsidR="001952AE" w:rsidRDefault="00001555">
            <w:pPr>
              <w:overflowPunct w:val="0"/>
              <w:autoSpaceDE w:val="0"/>
              <w:spacing w:before="100" w:after="100"/>
              <w:jc w:val="left"/>
              <w:rPr>
                <w:sz w:val="20"/>
                <w:szCs w:val="20"/>
              </w:rPr>
            </w:pPr>
            <w:r>
              <w:rPr>
                <w:sz w:val="20"/>
                <w:szCs w:val="20"/>
              </w:rPr>
              <w:t>38.5</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1" w14:textId="77777777" w:rsidR="001952AE" w:rsidRDefault="00001555">
            <w:pPr>
              <w:overflowPunct w:val="0"/>
              <w:autoSpaceDE w:val="0"/>
              <w:spacing w:before="100" w:after="100"/>
              <w:jc w:val="left"/>
              <w:rPr>
                <w:sz w:val="20"/>
                <w:szCs w:val="20"/>
              </w:rPr>
            </w:pPr>
            <w:r>
              <w:rPr>
                <w:sz w:val="20"/>
                <w:szCs w:val="20"/>
              </w:rPr>
              <w:t>Removal (west), pole #81 above to be relocated to existing location of pole #247</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2" w14:textId="77777777" w:rsidR="001952AE" w:rsidRDefault="00001555">
            <w:pPr>
              <w:overflowPunct w:val="0"/>
              <w:autoSpaceDE w:val="0"/>
              <w:spacing w:before="100" w:after="100"/>
              <w:jc w:val="left"/>
              <w:rPr>
                <w:sz w:val="20"/>
                <w:szCs w:val="20"/>
              </w:rPr>
            </w:pPr>
            <w:r>
              <w:rPr>
                <w:sz w:val="20"/>
                <w:szCs w:val="20"/>
              </w:rPr>
              <w:t>--</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3" w14:textId="77777777" w:rsidR="001952AE" w:rsidRDefault="00001555">
            <w:pPr>
              <w:overflowPunct w:val="0"/>
              <w:autoSpaceDE w:val="0"/>
              <w:spacing w:before="100" w:after="100"/>
              <w:jc w:val="left"/>
              <w:rPr>
                <w:sz w:val="20"/>
                <w:szCs w:val="20"/>
              </w:rPr>
            </w:pPr>
            <w:r>
              <w:rPr>
                <w:sz w:val="20"/>
                <w:szCs w:val="20"/>
              </w:rPr>
              <w:t>--</w:t>
            </w:r>
          </w:p>
        </w:tc>
      </w:tr>
      <w:tr w:rsidR="001952AE" w14:paraId="1E712A5A" w14:textId="77777777">
        <w:trPr>
          <w:cantSplit/>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5" w14:textId="77777777" w:rsidR="001952AE" w:rsidRDefault="00001555">
            <w:pPr>
              <w:overflowPunct w:val="0"/>
              <w:autoSpaceDE w:val="0"/>
              <w:spacing w:before="100" w:after="100"/>
              <w:jc w:val="left"/>
              <w:rPr>
                <w:sz w:val="20"/>
                <w:szCs w:val="20"/>
              </w:rPr>
            </w:pPr>
            <w:r>
              <w:rPr>
                <w:sz w:val="20"/>
                <w:szCs w:val="20"/>
              </w:rPr>
              <w:t>81.5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6" w14:textId="77777777" w:rsidR="001952AE" w:rsidRDefault="00001555">
            <w:pPr>
              <w:overflowPunct w:val="0"/>
              <w:autoSpaceDE w:val="0"/>
              <w:spacing w:before="100" w:after="100"/>
              <w:jc w:val="left"/>
              <w:rPr>
                <w:sz w:val="20"/>
                <w:szCs w:val="20"/>
              </w:rPr>
            </w:pPr>
            <w:r>
              <w:rPr>
                <w:sz w:val="20"/>
                <w:szCs w:val="20"/>
              </w:rPr>
              <w: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7" w14:textId="77777777" w:rsidR="001952AE" w:rsidRDefault="00001555">
            <w:pPr>
              <w:overflowPunct w:val="0"/>
              <w:autoSpaceDE w:val="0"/>
              <w:spacing w:before="100" w:after="100"/>
              <w:jc w:val="left"/>
              <w:rPr>
                <w:sz w:val="20"/>
                <w:szCs w:val="20"/>
              </w:rPr>
            </w:pPr>
            <w:r>
              <w:rPr>
                <w:sz w:val="20"/>
                <w:szCs w:val="20"/>
              </w:rPr>
              <w:t>Install (west)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8" w14:textId="77777777" w:rsidR="001952AE" w:rsidRDefault="00001555">
            <w:pPr>
              <w:overflowPunct w:val="0"/>
              <w:autoSpaceDE w:val="0"/>
              <w:spacing w:before="100" w:after="100"/>
              <w:jc w:val="left"/>
              <w:rPr>
                <w:sz w:val="20"/>
                <w:szCs w:val="20"/>
              </w:rPr>
            </w:pPr>
            <w:r>
              <w:rPr>
                <w:sz w:val="20"/>
                <w:szCs w:val="20"/>
              </w:rPr>
              <w:t>65.5</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9" w14:textId="77777777" w:rsidR="001952AE" w:rsidRDefault="00001555">
            <w:pPr>
              <w:overflowPunct w:val="0"/>
              <w:autoSpaceDE w:val="0"/>
              <w:spacing w:before="100" w:after="100"/>
              <w:jc w:val="left"/>
              <w:rPr>
                <w:sz w:val="20"/>
                <w:szCs w:val="20"/>
              </w:rPr>
            </w:pPr>
            <w:r>
              <w:rPr>
                <w:sz w:val="20"/>
                <w:szCs w:val="20"/>
              </w:rPr>
              <w:t>--</w:t>
            </w:r>
          </w:p>
        </w:tc>
      </w:tr>
      <w:tr w:rsidR="001952AE" w14:paraId="1E712A60" w14:textId="77777777">
        <w:trPr>
          <w:cantSplit/>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B" w14:textId="77777777" w:rsidR="001952AE" w:rsidRDefault="00001555">
            <w:pPr>
              <w:overflowPunct w:val="0"/>
              <w:autoSpaceDE w:val="0"/>
              <w:spacing w:before="100" w:after="100"/>
              <w:jc w:val="left"/>
              <w:rPr>
                <w:sz w:val="20"/>
                <w:szCs w:val="20"/>
              </w:rPr>
            </w:pPr>
            <w:r>
              <w:rPr>
                <w:sz w:val="20"/>
                <w:szCs w:val="20"/>
              </w:rPr>
              <w:t>82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C" w14:textId="77777777" w:rsidR="001952AE" w:rsidRDefault="00001555">
            <w:pPr>
              <w:overflowPunct w:val="0"/>
              <w:autoSpaceDE w:val="0"/>
              <w:spacing w:before="100" w:after="100"/>
              <w:jc w:val="left"/>
              <w:rPr>
                <w:sz w:val="20"/>
                <w:szCs w:val="20"/>
              </w:rPr>
            </w:pPr>
            <w:r>
              <w:rPr>
                <w:sz w:val="20"/>
                <w:szCs w:val="20"/>
              </w:rPr>
              <w: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D" w14:textId="77777777" w:rsidR="001952AE" w:rsidRDefault="00001555">
            <w:pPr>
              <w:overflowPunct w:val="0"/>
              <w:autoSpaceDE w:val="0"/>
              <w:spacing w:before="100" w:after="100"/>
              <w:jc w:val="left"/>
              <w:rPr>
                <w:sz w:val="20"/>
                <w:szCs w:val="20"/>
              </w:rPr>
            </w:pPr>
            <w:r>
              <w:rPr>
                <w:sz w:val="20"/>
                <w:szCs w:val="20"/>
              </w:rPr>
              <w:t>Install (east)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E" w14:textId="77777777" w:rsidR="001952AE" w:rsidRDefault="00001555">
            <w:pPr>
              <w:overflowPunct w:val="0"/>
              <w:autoSpaceDE w:val="0"/>
              <w:spacing w:before="100" w:after="100"/>
              <w:jc w:val="left"/>
              <w:rPr>
                <w:sz w:val="20"/>
                <w:szCs w:val="20"/>
              </w:rPr>
            </w:pPr>
            <w:r>
              <w:rPr>
                <w:sz w:val="20"/>
                <w:szCs w:val="20"/>
              </w:rPr>
              <w:t>65.5</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5F" w14:textId="77777777" w:rsidR="001952AE" w:rsidRDefault="00001555">
            <w:pPr>
              <w:overflowPunct w:val="0"/>
              <w:autoSpaceDE w:val="0"/>
              <w:spacing w:before="100" w:after="100"/>
              <w:jc w:val="left"/>
              <w:rPr>
                <w:sz w:val="20"/>
                <w:szCs w:val="20"/>
              </w:rPr>
            </w:pPr>
            <w:r>
              <w:rPr>
                <w:sz w:val="20"/>
                <w:szCs w:val="20"/>
              </w:rPr>
              <w:t>--</w:t>
            </w:r>
          </w:p>
        </w:tc>
      </w:tr>
      <w:tr w:rsidR="001952AE" w14:paraId="1E712A66" w14:textId="77777777">
        <w:trPr>
          <w:cantSplit/>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61" w14:textId="77777777" w:rsidR="001952AE" w:rsidRDefault="00001555">
            <w:pPr>
              <w:overflowPunct w:val="0"/>
              <w:autoSpaceDE w:val="0"/>
              <w:spacing w:before="100" w:after="100"/>
              <w:jc w:val="left"/>
              <w:rPr>
                <w:sz w:val="20"/>
                <w:szCs w:val="20"/>
              </w:rPr>
            </w:pPr>
            <w:r>
              <w:rPr>
                <w:sz w:val="20"/>
                <w:szCs w:val="20"/>
              </w:rPr>
              <w:t>82.5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62" w14:textId="77777777" w:rsidR="001952AE" w:rsidRDefault="00001555">
            <w:pPr>
              <w:overflowPunct w:val="0"/>
              <w:autoSpaceDE w:val="0"/>
              <w:spacing w:before="100" w:after="100"/>
              <w:jc w:val="left"/>
            </w:pPr>
            <w:r>
              <w:rPr>
                <w:sz w:val="20"/>
                <w:szCs w:val="20"/>
              </w:rPr>
              <w:t>56.5</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63" w14:textId="77777777" w:rsidR="001952AE" w:rsidRDefault="00001555">
            <w:pPr>
              <w:overflowPunct w:val="0"/>
              <w:autoSpaceDE w:val="0"/>
              <w:spacing w:before="100" w:after="100"/>
              <w:jc w:val="left"/>
              <w:rPr>
                <w:sz w:val="20"/>
                <w:szCs w:val="20"/>
              </w:rPr>
            </w:pPr>
            <w:r>
              <w:rPr>
                <w:sz w:val="20"/>
                <w:szCs w:val="20"/>
              </w:rPr>
              <w:t>Replacement of existing Pole #82 (east), re-number as #82.5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64" w14:textId="77777777" w:rsidR="001952AE" w:rsidRDefault="00001555">
            <w:pPr>
              <w:overflowPunct w:val="0"/>
              <w:autoSpaceDE w:val="0"/>
              <w:spacing w:before="100" w:after="100"/>
              <w:jc w:val="left"/>
              <w:rPr>
                <w:sz w:val="20"/>
                <w:szCs w:val="20"/>
              </w:rPr>
            </w:pPr>
            <w:r>
              <w:rPr>
                <w:sz w:val="20"/>
                <w:szCs w:val="20"/>
              </w:rPr>
              <w:t>61</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65" w14:textId="77777777" w:rsidR="001952AE" w:rsidRDefault="00001555">
            <w:pPr>
              <w:overflowPunct w:val="0"/>
              <w:autoSpaceDE w:val="0"/>
              <w:spacing w:before="100" w:after="100"/>
              <w:jc w:val="left"/>
              <w:rPr>
                <w:sz w:val="20"/>
                <w:szCs w:val="20"/>
              </w:rPr>
            </w:pPr>
            <w:r>
              <w:rPr>
                <w:sz w:val="20"/>
                <w:szCs w:val="20"/>
              </w:rPr>
              <w:t>4.5</w:t>
            </w:r>
          </w:p>
        </w:tc>
      </w:tr>
      <w:tr w:rsidR="001952AE" w14:paraId="1E712A6A" w14:textId="77777777">
        <w:trPr>
          <w:cantSplit/>
          <w:jc w:val="center"/>
        </w:trPr>
        <w:tc>
          <w:tcPr>
            <w:tcW w:w="87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67" w14:textId="77777777" w:rsidR="001952AE" w:rsidRDefault="00001555">
            <w:pPr>
              <w:overflowPunct w:val="0"/>
              <w:autoSpaceDE w:val="0"/>
              <w:spacing w:before="100"/>
              <w:jc w:val="left"/>
              <w:rPr>
                <w:sz w:val="20"/>
                <w:szCs w:val="20"/>
              </w:rPr>
            </w:pPr>
            <w:r>
              <w:rPr>
                <w:sz w:val="20"/>
                <w:szCs w:val="20"/>
              </w:rPr>
              <w:t xml:space="preserve">Notes: </w:t>
            </w:r>
          </w:p>
          <w:p w14:paraId="1E712A68" w14:textId="77777777" w:rsidR="001952AE" w:rsidRDefault="00001555">
            <w:pPr>
              <w:overflowPunct w:val="0"/>
              <w:autoSpaceDE w:val="0"/>
              <w:spacing w:after="0"/>
              <w:jc w:val="left"/>
              <w:rPr>
                <w:sz w:val="20"/>
                <w:szCs w:val="20"/>
              </w:rPr>
            </w:pPr>
            <w:r>
              <w:rPr>
                <w:sz w:val="20"/>
                <w:szCs w:val="20"/>
              </w:rPr>
              <w:t>*North to south and vice versa movements are in-line with proposed OH lines. East to west and vice versa movements are across NYS-112 roadway.</w:t>
            </w:r>
          </w:p>
          <w:p w14:paraId="1E712A69" w14:textId="77777777" w:rsidR="001952AE" w:rsidRDefault="00001555">
            <w:pPr>
              <w:overflowPunct w:val="0"/>
              <w:autoSpaceDE w:val="0"/>
              <w:spacing w:after="100"/>
              <w:jc w:val="left"/>
              <w:rPr>
                <w:sz w:val="20"/>
                <w:szCs w:val="20"/>
              </w:rPr>
            </w:pPr>
            <w:r>
              <w:rPr>
                <w:sz w:val="20"/>
                <w:szCs w:val="20"/>
              </w:rPr>
              <w:t>**Heights prior to embedment are indicated in the Design Drawing M-30000.</w:t>
            </w:r>
          </w:p>
        </w:tc>
      </w:tr>
    </w:tbl>
    <w:p w14:paraId="1E712A6B" w14:textId="77777777" w:rsidR="001952AE" w:rsidRDefault="001952AE">
      <w:pPr>
        <w:overflowPunct w:val="0"/>
        <w:autoSpaceDE w:val="0"/>
        <w:spacing w:before="100" w:after="100"/>
        <w:jc w:val="left"/>
        <w:rPr>
          <w:sz w:val="8"/>
          <w:szCs w:val="8"/>
        </w:rPr>
      </w:pPr>
    </w:p>
    <w:p w14:paraId="1E712A6C" w14:textId="77777777" w:rsidR="001952AE" w:rsidRDefault="001952AE">
      <w:pPr>
        <w:spacing w:after="0"/>
        <w:jc w:val="left"/>
        <w:rPr>
          <w:rFonts w:ascii="TimesNewRomanPSMT" w:hAnsi="TimesNewRomanPSMT" w:cs="TimesNewRomanPSMT"/>
          <w:b/>
          <w:szCs w:val="22"/>
        </w:rPr>
      </w:pPr>
    </w:p>
    <w:bookmarkEnd w:id="2"/>
    <w:p w14:paraId="1E712A6D" w14:textId="77777777" w:rsidR="001952AE" w:rsidRDefault="00001555">
      <w:pPr>
        <w:pStyle w:val="2LOH"/>
        <w:numPr>
          <w:ilvl w:val="0"/>
          <w:numId w:val="5"/>
        </w:numPr>
        <w:tabs>
          <w:tab w:val="left" w:pos="-4680"/>
          <w:tab w:val="left" w:pos="-3780"/>
        </w:tabs>
        <w:spacing w:after="200" w:line="276" w:lineRule="auto"/>
        <w:ind w:hanging="1260"/>
      </w:pPr>
      <w:r>
        <w:lastRenderedPageBreak/>
        <w:t>Existing Land use and topography</w:t>
      </w:r>
    </w:p>
    <w:p w14:paraId="1E712A6E" w14:textId="123C2A89" w:rsidR="001952AE" w:rsidRDefault="00001555">
      <w:pPr>
        <w:spacing w:after="200" w:line="276" w:lineRule="auto"/>
      </w:pPr>
      <w:bookmarkStart w:id="3" w:name="_Hlk531093525"/>
      <w:r>
        <w:t xml:space="preserve">The existing topography surrounding the Study Area is generally flat with elevations along NYS-112 ranging from 100’ asl to 150’ asl NAVD88 (refer to </w:t>
      </w:r>
      <w:r w:rsidR="006C42FF">
        <w:t>Figure A-2:</w:t>
      </w:r>
      <w:r>
        <w:t xml:space="preserve"> Topographic Map – </w:t>
      </w:r>
      <w:r w:rsidR="006C42FF">
        <w:rPr>
          <w:b/>
        </w:rPr>
        <w:t>Appendix</w:t>
      </w:r>
      <w:r>
        <w:rPr>
          <w:b/>
        </w:rPr>
        <w:t xml:space="preserve"> A</w:t>
      </w:r>
      <w:r>
        <w:t xml:space="preserve">).  Land use in the vicinity of the Study Area is comprised of a mix of generally flat wooded and developed environments.  </w:t>
      </w:r>
      <w:r>
        <w:rPr>
          <w:rFonts w:ascii="TimesNewRomanPSMT" w:hAnsi="TimesNewRomanPSMT" w:cs="TimesNewRomanPSMT"/>
          <w:szCs w:val="22"/>
        </w:rPr>
        <w:t>The highest elevations within the Proposed Action Study Area are located northeast of the Site, in the proximity of the Glacier Ridge Bike Trail, with a maximum elevation of 300’ asl (NAVD88), which is approximately 150’ above elevations found at the Study Area.  The lowest elevations within a one-mile radius are located more than 500 feet south of the pole modifications in the Study Area with elevations at approximately 100’ asl (NAVD88).</w:t>
      </w:r>
    </w:p>
    <w:p w14:paraId="1E712A6F" w14:textId="0E04BF0D" w:rsidR="001952AE" w:rsidRDefault="00001555">
      <w:pPr>
        <w:autoSpaceDE w:val="0"/>
        <w:spacing w:after="200" w:line="276" w:lineRule="auto"/>
      </w:pPr>
      <w:r>
        <w:rPr>
          <w:rFonts w:ascii="TimesNewRomanPSMT" w:hAnsi="TimesNewRomanPSMT" w:cs="TimesNewRomanPSMT"/>
          <w:szCs w:val="22"/>
        </w:rPr>
        <w:t xml:space="preserve">The Proposed Action Study Area land uses are predominantly Recreation and Open Space.  </w:t>
      </w:r>
      <w:r>
        <w:t>The Proposed Action is located in a developed area with a mix of commercial, industrial, residential, and institutional uses, which have other modern visual intrusions such as modern office and commercial buildings, apartment developments, a business school campus, street lighting, and other existing utilities</w:t>
      </w:r>
      <w:r>
        <w:rPr>
          <w:rFonts w:ascii="TimesNewRomanPSMT" w:hAnsi="TimesNewRomanPSMT" w:cs="TimesNewRomanPSMT"/>
          <w:szCs w:val="22"/>
        </w:rPr>
        <w:t xml:space="preserve"> (refer to </w:t>
      </w:r>
      <w:r w:rsidR="006C42FF">
        <w:rPr>
          <w:rFonts w:ascii="TimesNewRomanPSMT" w:hAnsi="TimesNewRomanPSMT" w:cs="TimesNewRomanPSMT"/>
          <w:szCs w:val="22"/>
        </w:rPr>
        <w:t>Figure A-3:</w:t>
      </w:r>
      <w:r>
        <w:rPr>
          <w:rFonts w:ascii="TimesNewRomanPSMT" w:hAnsi="TimesNewRomanPSMT" w:cs="TimesNewRomanPSMT"/>
          <w:szCs w:val="22"/>
        </w:rPr>
        <w:t xml:space="preserve"> Land Use Map – </w:t>
      </w:r>
      <w:r w:rsidR="006C42FF" w:rsidRPr="006C42FF">
        <w:rPr>
          <w:rFonts w:ascii="TimesNewRomanPSMT" w:hAnsi="TimesNewRomanPSMT" w:cs="TimesNewRomanPSMT"/>
          <w:b/>
          <w:szCs w:val="22"/>
        </w:rPr>
        <w:t>Appendix A</w:t>
      </w:r>
      <w:r>
        <w:rPr>
          <w:rFonts w:ascii="TimesNewRomanPSMT" w:hAnsi="TimesNewRomanPSMT" w:cs="TimesNewRomanPSMT"/>
          <w:szCs w:val="22"/>
        </w:rPr>
        <w:t>.</w:t>
      </w:r>
    </w:p>
    <w:bookmarkEnd w:id="3"/>
    <w:p w14:paraId="1E712A70" w14:textId="77777777" w:rsidR="001952AE" w:rsidRDefault="00001555">
      <w:pPr>
        <w:pStyle w:val="2LOH"/>
        <w:numPr>
          <w:ilvl w:val="0"/>
          <w:numId w:val="5"/>
        </w:numPr>
        <w:tabs>
          <w:tab w:val="left" w:pos="-4680"/>
          <w:tab w:val="left" w:pos="-3780"/>
        </w:tabs>
        <w:spacing w:after="200" w:line="276" w:lineRule="auto"/>
        <w:ind w:hanging="1260"/>
        <w:jc w:val="both"/>
      </w:pPr>
      <w:r>
        <w:t>inventory of aesthetic resources</w:t>
      </w:r>
    </w:p>
    <w:bookmarkEnd w:id="1"/>
    <w:p w14:paraId="1E712A71" w14:textId="5285D226" w:rsidR="001952AE" w:rsidRDefault="00001555">
      <w:pPr>
        <w:autoSpaceDE w:val="0"/>
        <w:spacing w:after="0" w:line="276" w:lineRule="auto"/>
      </w:pPr>
      <w:r>
        <w:t xml:space="preserve">Visual resources are landscape areas and features that are significant because of either their inherent visual quality or their cultural importance.  The NYSDEC’s Program Policy, Assessing and Mitigating Visual Impacts, identifies 15 categories of aesthetic resources of statewide significance which have been recognized through either national or state designations.  </w:t>
      </w:r>
      <w:r>
        <w:rPr>
          <w:rFonts w:ascii="TimesNewRomanPSMT" w:hAnsi="TimesNewRomanPSMT" w:cs="TimesNewRomanPSMT"/>
          <w:szCs w:val="22"/>
        </w:rPr>
        <w:t xml:space="preserve">An inventory of visual resources designated by NYSDEC located within the Study Area is included below.  The location of the identified aesthetic resources is included on </w:t>
      </w:r>
      <w:r w:rsidRPr="009D3A2B">
        <w:rPr>
          <w:rFonts w:ascii="TimesNewRomanPS-BoldMT" w:hAnsi="TimesNewRomanPS-BoldMT" w:cs="TimesNewRomanPS-BoldMT"/>
          <w:bCs/>
          <w:szCs w:val="22"/>
        </w:rPr>
        <w:t>Figure A-1</w:t>
      </w:r>
      <w:r w:rsidR="006C42FF">
        <w:rPr>
          <w:rFonts w:ascii="TimesNewRomanPSMT" w:hAnsi="TimesNewRomanPSMT" w:cs="TimesNewRomanPSMT"/>
          <w:szCs w:val="22"/>
        </w:rPr>
        <w:t xml:space="preserve"> in </w:t>
      </w:r>
      <w:r w:rsidR="006C42FF">
        <w:rPr>
          <w:rFonts w:ascii="TimesNewRomanPSMT" w:hAnsi="TimesNewRomanPSMT" w:cs="TimesNewRomanPSMT"/>
          <w:b/>
          <w:szCs w:val="22"/>
        </w:rPr>
        <w:t>Appendix A</w:t>
      </w:r>
      <w:r>
        <w:rPr>
          <w:rFonts w:ascii="TimesNewRomanPSMT" w:hAnsi="TimesNewRomanPSMT" w:cs="TimesNewRomanPSMT"/>
          <w:szCs w:val="22"/>
        </w:rPr>
        <w:t>.</w:t>
      </w:r>
    </w:p>
    <w:p w14:paraId="1E712A72" w14:textId="77777777" w:rsidR="001952AE" w:rsidRDefault="00001555">
      <w:pPr>
        <w:pStyle w:val="ListParagraph"/>
        <w:numPr>
          <w:ilvl w:val="0"/>
          <w:numId w:val="10"/>
        </w:numPr>
        <w:autoSpaceDE w:val="0"/>
        <w:spacing w:before="240" w:after="0" w:line="276" w:lineRule="auto"/>
        <w:ind w:left="360"/>
      </w:pPr>
      <w:r>
        <w:rPr>
          <w:rFonts w:ascii="TimesNewRomanPS-ItalicMT" w:hAnsi="TimesNewRomanPS-ItalicMT" w:cs="TimesNewRomanPS-ItalicMT"/>
          <w:i/>
          <w:iCs/>
          <w:szCs w:val="22"/>
        </w:rPr>
        <w:t xml:space="preserve">A property on or eligible for inclusion in the National or State Register of Historic Places [16 U.S.C.§470a et seq., Parks, Recreation and Historic Preservation Law Section 14.07]. </w:t>
      </w:r>
      <w:r>
        <w:rPr>
          <w:rFonts w:ascii="TimesNewRomanPSMT" w:hAnsi="TimesNewRomanPSMT" w:cs="TimesNewRomanPSMT"/>
          <w:szCs w:val="22"/>
        </w:rPr>
        <w:t>A review of the New York State Office of Parks, Recreation and Historic Preservation (NYSOPRHP) Cultural Resource Information System (CRIS)</w:t>
      </w:r>
      <w:r>
        <w:rPr>
          <w:rStyle w:val="FootnoteReference"/>
          <w:rFonts w:ascii="TimesNewRomanPSMT" w:hAnsi="TimesNewRomanPSMT" w:cs="TimesNewRomanPSMT"/>
          <w:szCs w:val="22"/>
        </w:rPr>
        <w:footnoteReference w:id="3"/>
      </w:r>
      <w:r>
        <w:rPr>
          <w:rFonts w:ascii="TimesNewRomanPSMT" w:hAnsi="TimesNewRomanPSMT" w:cs="TimesNewRomanPSMT"/>
          <w:sz w:val="14"/>
          <w:szCs w:val="14"/>
        </w:rPr>
        <w:t xml:space="preserve"> </w:t>
      </w:r>
      <w:r>
        <w:rPr>
          <w:rFonts w:ascii="TimesNewRomanPSMT" w:hAnsi="TimesNewRomanPSMT" w:cs="TimesNewRomanPSMT"/>
          <w:szCs w:val="22"/>
        </w:rPr>
        <w:t>did not identify any properties on or eligible for listing in the National or State Register of Historic Places within the Study Area.</w:t>
      </w:r>
    </w:p>
    <w:p w14:paraId="1E712A73" w14:textId="77777777" w:rsidR="001952AE" w:rsidRDefault="00001555">
      <w:pPr>
        <w:pStyle w:val="ListParagraph"/>
        <w:numPr>
          <w:ilvl w:val="0"/>
          <w:numId w:val="10"/>
        </w:numPr>
        <w:autoSpaceDE w:val="0"/>
        <w:spacing w:before="240" w:after="0" w:line="276" w:lineRule="auto"/>
        <w:ind w:left="360"/>
      </w:pPr>
      <w:r>
        <w:rPr>
          <w:rFonts w:ascii="TimesNewRomanPS-ItalicMT" w:hAnsi="TimesNewRomanPS-ItalicMT" w:cs="TimesNewRomanPS-ItalicMT"/>
          <w:i/>
          <w:iCs/>
          <w:szCs w:val="22"/>
        </w:rPr>
        <w:t xml:space="preserve">State Parks [Parks, Recreation and Historic Preservation Law Section 3.09]. </w:t>
      </w:r>
      <w:r>
        <w:rPr>
          <w:rFonts w:ascii="TimesNewRomanPSMT" w:hAnsi="TimesNewRomanPSMT" w:cs="TimesNewRomanPSMT"/>
          <w:szCs w:val="22"/>
        </w:rPr>
        <w:t>No state parks are located within the Study Area.</w:t>
      </w:r>
    </w:p>
    <w:p w14:paraId="1E712A74" w14:textId="77777777" w:rsidR="001952AE" w:rsidRDefault="00001555">
      <w:pPr>
        <w:pStyle w:val="ListParagraph"/>
        <w:numPr>
          <w:ilvl w:val="0"/>
          <w:numId w:val="10"/>
        </w:numPr>
        <w:autoSpaceDE w:val="0"/>
        <w:spacing w:before="240" w:after="0" w:line="276" w:lineRule="auto"/>
        <w:ind w:left="360"/>
      </w:pPr>
      <w:r>
        <w:rPr>
          <w:rFonts w:ascii="TimesNewRomanPS-ItalicMT" w:hAnsi="TimesNewRomanPS-ItalicMT" w:cs="TimesNewRomanPS-ItalicMT"/>
          <w:i/>
          <w:iCs/>
          <w:szCs w:val="22"/>
        </w:rPr>
        <w:t>Urban Cultural Parks [Parks, Recreation and Historic Preservation Law Section 35.15]</w:t>
      </w:r>
      <w:r>
        <w:rPr>
          <w:rFonts w:ascii="TimesNewRomanPSMT" w:hAnsi="TimesNewRomanPSMT" w:cs="TimesNewRomanPSMT"/>
          <w:szCs w:val="22"/>
        </w:rPr>
        <w:t xml:space="preserve">. The State Heritage Areas program has replaced the urban cultural parks program. The Long Island North Shore State Heritage Area (LINSHA) is defined as the entire north shore of Long Island from Great Neck to </w:t>
      </w:r>
      <w:r>
        <w:rPr>
          <w:rFonts w:ascii="TimesNewRomanPSMT" w:hAnsi="TimesNewRomanPSMT" w:cs="TimesNewRomanPSMT"/>
          <w:szCs w:val="22"/>
        </w:rPr>
        <w:lastRenderedPageBreak/>
        <w:t>Orient Point, with its southern boundary generally following the Long Island Expressway (LIE).  No urban cultural parks are located within the Study Area.</w:t>
      </w:r>
    </w:p>
    <w:p w14:paraId="1E712A75" w14:textId="77777777" w:rsidR="001952AE" w:rsidRDefault="00001555">
      <w:pPr>
        <w:pStyle w:val="ListParagraph"/>
        <w:numPr>
          <w:ilvl w:val="0"/>
          <w:numId w:val="10"/>
        </w:numPr>
        <w:autoSpaceDE w:val="0"/>
        <w:spacing w:before="240" w:after="0" w:line="276" w:lineRule="auto"/>
        <w:ind w:left="360"/>
      </w:pPr>
      <w:r>
        <w:rPr>
          <w:rFonts w:ascii="TimesNewRomanPS-ItalicMT" w:hAnsi="TimesNewRomanPS-ItalicMT" w:cs="TimesNewRomanPS-ItalicMT"/>
          <w:i/>
          <w:iCs/>
          <w:szCs w:val="22"/>
        </w:rPr>
        <w:t>The State Forest Preserve [NYS Constitution Article XIV]</w:t>
      </w:r>
      <w:r>
        <w:rPr>
          <w:rFonts w:ascii="TimesNewRomanPSMT" w:hAnsi="TimesNewRomanPSMT" w:cs="TimesNewRomanPSMT"/>
          <w:szCs w:val="22"/>
        </w:rPr>
        <w:t>. The state forest preserve is limited to Adirondack and Catskill Parks, and some portions of the counties where these two parks are located. No such lands are located on Long Island.</w:t>
      </w:r>
    </w:p>
    <w:p w14:paraId="1E712A76" w14:textId="77777777" w:rsidR="001952AE" w:rsidRDefault="00001555">
      <w:pPr>
        <w:pStyle w:val="ListParagraph"/>
        <w:numPr>
          <w:ilvl w:val="0"/>
          <w:numId w:val="10"/>
        </w:numPr>
        <w:autoSpaceDE w:val="0"/>
        <w:spacing w:before="240" w:after="0" w:line="276" w:lineRule="auto"/>
        <w:ind w:left="360"/>
      </w:pPr>
      <w:r>
        <w:rPr>
          <w:rFonts w:ascii="TimesNewRomanPS-ItalicMT" w:hAnsi="TimesNewRomanPS-ItalicMT" w:cs="TimesNewRomanPS-ItalicMT"/>
          <w:i/>
          <w:iCs/>
          <w:szCs w:val="22"/>
        </w:rPr>
        <w:t>National Wildlife Refuges [16 U.S.C. 668dd], State Game Refuges and State Wildlife Management Areas</w:t>
      </w:r>
      <w:r>
        <w:rPr>
          <w:rFonts w:ascii="TimesNewRomanPS-ItalicMT" w:hAnsi="TimesNewRomanPS-ItalicMT" w:cs="TimesNewRomanPS-ItalicMT"/>
          <w:iCs/>
          <w:szCs w:val="22"/>
        </w:rPr>
        <w:t xml:space="preserve"> </w:t>
      </w:r>
      <w:r>
        <w:rPr>
          <w:rFonts w:ascii="TimesNewRomanPS-ItalicMT" w:hAnsi="TimesNewRomanPS-ItalicMT" w:cs="TimesNewRomanPS-ItalicMT"/>
          <w:i/>
          <w:iCs/>
          <w:szCs w:val="22"/>
        </w:rPr>
        <w:t xml:space="preserve">[ECL 11-2105]. </w:t>
      </w:r>
      <w:r>
        <w:rPr>
          <w:rFonts w:ascii="TimesNewRomanPS-ItalicMT" w:hAnsi="TimesNewRomanPS-ItalicMT" w:cs="TimesNewRomanPS-ItalicMT"/>
          <w:iCs/>
          <w:szCs w:val="22"/>
        </w:rPr>
        <w:t>No national wildlife refuges or wildlife management areas are present within the Study Area.</w:t>
      </w:r>
    </w:p>
    <w:p w14:paraId="1E712A77" w14:textId="77777777" w:rsidR="001952AE" w:rsidRDefault="00001555">
      <w:pPr>
        <w:pStyle w:val="ListParagraph"/>
        <w:numPr>
          <w:ilvl w:val="0"/>
          <w:numId w:val="10"/>
        </w:numPr>
        <w:autoSpaceDE w:val="0"/>
        <w:spacing w:before="240" w:after="0" w:line="276" w:lineRule="auto"/>
        <w:ind w:left="360"/>
      </w:pPr>
      <w:r>
        <w:rPr>
          <w:rFonts w:ascii="TimesNewRomanPS-ItalicMT" w:hAnsi="TimesNewRomanPS-ItalicMT" w:cs="TimesNewRomanPS-ItalicMT"/>
          <w:i/>
          <w:iCs/>
          <w:szCs w:val="22"/>
        </w:rPr>
        <w:t xml:space="preserve">National Natural Landmarks [36 CFR Part 62]. </w:t>
      </w:r>
      <w:r>
        <w:rPr>
          <w:rFonts w:ascii="TimesNewRomanPS-ItalicMT" w:hAnsi="TimesNewRomanPS-ItalicMT" w:cs="TimesNewRomanPS-ItalicMT"/>
          <w:iCs/>
          <w:szCs w:val="22"/>
        </w:rPr>
        <w:t>No national natural landmarks are present within the Study Area.</w:t>
      </w:r>
    </w:p>
    <w:p w14:paraId="1E712A78" w14:textId="77777777" w:rsidR="001952AE" w:rsidRDefault="00001555">
      <w:pPr>
        <w:pStyle w:val="ListParagraph"/>
        <w:numPr>
          <w:ilvl w:val="0"/>
          <w:numId w:val="10"/>
        </w:numPr>
        <w:autoSpaceDE w:val="0"/>
        <w:spacing w:before="240" w:after="0" w:line="276" w:lineRule="auto"/>
        <w:ind w:left="360"/>
      </w:pPr>
      <w:r>
        <w:rPr>
          <w:rFonts w:ascii="TimesNewRomanPS-ItalicMT" w:hAnsi="TimesNewRomanPS-ItalicMT" w:cs="TimesNewRomanPS-ItalicMT"/>
          <w:i/>
          <w:iCs/>
          <w:szCs w:val="22"/>
        </w:rPr>
        <w:t xml:space="preserve">The National Park System, Recreation Areas, Seashores, Forests [16 U.S.C. 1c]. </w:t>
      </w:r>
      <w:r>
        <w:rPr>
          <w:rFonts w:ascii="TimesNewRomanPS-ItalicMT" w:hAnsi="TimesNewRomanPS-ItalicMT" w:cs="TimesNewRomanPS-ItalicMT"/>
          <w:iCs/>
          <w:szCs w:val="22"/>
        </w:rPr>
        <w:t>No national parks are located within the Study Area.</w:t>
      </w:r>
    </w:p>
    <w:p w14:paraId="1E712A79" w14:textId="77777777" w:rsidR="001952AE" w:rsidRDefault="00001555">
      <w:pPr>
        <w:pStyle w:val="ListParagraph"/>
        <w:numPr>
          <w:ilvl w:val="0"/>
          <w:numId w:val="10"/>
        </w:numPr>
        <w:autoSpaceDE w:val="0"/>
        <w:spacing w:before="240" w:after="0" w:line="276" w:lineRule="auto"/>
        <w:ind w:left="360"/>
      </w:pPr>
      <w:r>
        <w:rPr>
          <w:rFonts w:ascii="TimesNewRomanPS-ItalicMT" w:hAnsi="TimesNewRomanPS-ItalicMT" w:cs="TimesNewRomanPS-ItalicMT"/>
          <w:i/>
          <w:iCs/>
          <w:szCs w:val="22"/>
        </w:rPr>
        <w:t xml:space="preserve">Rivers designated as National or State Wild, Scenic or Recreational [16 U.S.C. Chapter 28, ECL 15-2701 et seq.]. </w:t>
      </w:r>
      <w:r>
        <w:rPr>
          <w:rFonts w:ascii="TimesNewRomanPS-ItalicMT" w:hAnsi="TimesNewRomanPS-ItalicMT" w:cs="TimesNewRomanPS-ItalicMT"/>
          <w:iCs/>
          <w:szCs w:val="22"/>
        </w:rPr>
        <w:t>No rivers designated as national or state wild, scenic or recreational are located within the Study Area.</w:t>
      </w:r>
    </w:p>
    <w:p w14:paraId="1E712A7A" w14:textId="77777777" w:rsidR="001952AE" w:rsidRDefault="00001555">
      <w:pPr>
        <w:pStyle w:val="ListParagraph"/>
        <w:numPr>
          <w:ilvl w:val="0"/>
          <w:numId w:val="10"/>
        </w:numPr>
        <w:autoSpaceDE w:val="0"/>
        <w:spacing w:before="240" w:after="0" w:line="276" w:lineRule="auto"/>
        <w:ind w:left="360"/>
      </w:pPr>
      <w:r>
        <w:rPr>
          <w:rFonts w:ascii="TimesNewRomanPS-ItalicMT" w:hAnsi="TimesNewRomanPS-ItalicMT" w:cs="TimesNewRomanPS-ItalicMT"/>
          <w:i/>
          <w:iCs/>
          <w:szCs w:val="22"/>
        </w:rPr>
        <w:t xml:space="preserve">A site, area, lake, reservoir or highway designated or eligible for designation as scenic [ECL Article 49 or DOT equivalent and APA Designated State Highway Roadside]. Areas subject to Article 49 designation include Scenic Byways (now under the purview of the New York State Department of Transportation (NYSDOT), parkways designated by the Office of Parks, Recreation, and Historic Preservation, and other areas designated by NYSDEC. </w:t>
      </w:r>
      <w:r>
        <w:rPr>
          <w:rFonts w:ascii="TimesNewRomanPS-ItalicMT" w:hAnsi="TimesNewRomanPS-ItalicMT" w:cs="TimesNewRomanPS-ItalicMT"/>
          <w:iCs/>
          <w:szCs w:val="22"/>
        </w:rPr>
        <w:t>No scenic areas are located within the Study Area.</w:t>
      </w:r>
    </w:p>
    <w:p w14:paraId="1E712A7B" w14:textId="77777777" w:rsidR="001952AE" w:rsidRDefault="00001555">
      <w:pPr>
        <w:pStyle w:val="ListParagraph"/>
        <w:numPr>
          <w:ilvl w:val="0"/>
          <w:numId w:val="10"/>
        </w:numPr>
        <w:autoSpaceDE w:val="0"/>
        <w:spacing w:before="240" w:after="0" w:line="276" w:lineRule="auto"/>
        <w:ind w:left="360"/>
      </w:pPr>
      <w:r>
        <w:rPr>
          <w:rFonts w:ascii="TimesNewRomanPS-ItalicMT" w:hAnsi="TimesNewRomanPS-ItalicMT" w:cs="TimesNewRomanPS-ItalicMT"/>
          <w:i/>
          <w:iCs/>
          <w:szCs w:val="22"/>
        </w:rPr>
        <w:t xml:space="preserve">Scenic Areas of Statewide Significance [of Article 42 of Executive Law]. </w:t>
      </w:r>
      <w:r>
        <w:rPr>
          <w:rFonts w:ascii="TimesNewRomanPS-ItalicMT" w:hAnsi="TimesNewRomanPS-ItalicMT" w:cs="TimesNewRomanPS-ItalicMT"/>
          <w:iCs/>
          <w:szCs w:val="22"/>
        </w:rPr>
        <w:t>No Scenic Areas of Statewide Significance are located within the Study Area.</w:t>
      </w:r>
    </w:p>
    <w:p w14:paraId="1E712A7C" w14:textId="77777777" w:rsidR="001952AE" w:rsidRDefault="00001555">
      <w:pPr>
        <w:pStyle w:val="ListParagraph"/>
        <w:numPr>
          <w:ilvl w:val="0"/>
          <w:numId w:val="10"/>
        </w:numPr>
        <w:autoSpaceDE w:val="0"/>
        <w:spacing w:before="240" w:after="0" w:line="276" w:lineRule="auto"/>
        <w:ind w:left="360"/>
      </w:pPr>
      <w:r>
        <w:rPr>
          <w:rFonts w:ascii="TimesNewRomanPS-ItalicMT" w:hAnsi="TimesNewRomanPS-ItalicMT" w:cs="TimesNewRomanPS-ItalicMT"/>
          <w:i/>
          <w:iCs/>
          <w:szCs w:val="22"/>
        </w:rPr>
        <w:t xml:space="preserve">A State or federally designated trail, or one proposed for designation [16 U.S.C. Chapter 27 or equivalent]. </w:t>
      </w:r>
      <w:r>
        <w:rPr>
          <w:rFonts w:ascii="TimesNewRomanPS-ItalicMT" w:hAnsi="TimesNewRomanPS-ItalicMT" w:cs="TimesNewRomanPS-ItalicMT"/>
          <w:iCs/>
          <w:szCs w:val="22"/>
        </w:rPr>
        <w:t>No state or federally designated trails are located within the Study Area.</w:t>
      </w:r>
    </w:p>
    <w:p w14:paraId="1E712A7D" w14:textId="77777777" w:rsidR="001952AE" w:rsidRDefault="00001555">
      <w:pPr>
        <w:pStyle w:val="ListParagraph"/>
        <w:numPr>
          <w:ilvl w:val="0"/>
          <w:numId w:val="10"/>
        </w:numPr>
        <w:autoSpaceDE w:val="0"/>
        <w:spacing w:before="240" w:after="200" w:line="276" w:lineRule="auto"/>
        <w:ind w:left="360"/>
      </w:pPr>
      <w:r>
        <w:rPr>
          <w:rFonts w:ascii="TimesNewRomanPS-ItalicMT" w:hAnsi="TimesNewRomanPS-ItalicMT" w:cs="TimesNewRomanPS-ItalicMT"/>
          <w:i/>
          <w:iCs/>
          <w:szCs w:val="22"/>
        </w:rPr>
        <w:t xml:space="preserve">Adirondack Park Scenic Vistas. These vistas are limited to Adirondack Park located in northeastern New York State. </w:t>
      </w:r>
      <w:r>
        <w:rPr>
          <w:rFonts w:ascii="TimesNewRomanPS-ItalicMT" w:hAnsi="TimesNewRomanPS-ItalicMT" w:cs="TimesNewRomanPS-ItalicMT"/>
          <w:iCs/>
          <w:szCs w:val="22"/>
        </w:rPr>
        <w:t>No such lands are located on Long Island.</w:t>
      </w:r>
    </w:p>
    <w:p w14:paraId="1E712A7E" w14:textId="77777777" w:rsidR="001952AE" w:rsidRDefault="00001555">
      <w:pPr>
        <w:pStyle w:val="ListParagraph"/>
        <w:numPr>
          <w:ilvl w:val="0"/>
          <w:numId w:val="10"/>
        </w:numPr>
        <w:autoSpaceDE w:val="0"/>
        <w:spacing w:after="200" w:line="276" w:lineRule="auto"/>
        <w:ind w:left="360"/>
      </w:pPr>
      <w:r>
        <w:rPr>
          <w:rFonts w:ascii="TimesNewRomanPS-ItalicMT" w:hAnsi="TimesNewRomanPS-ItalicMT" w:cs="TimesNewRomanPS-ItalicMT"/>
          <w:i/>
          <w:iCs/>
          <w:szCs w:val="22"/>
        </w:rPr>
        <w:t xml:space="preserve">State Nature and Historic Preserve Areas; [Section 4 of Article XIV of the State Constitution]. </w:t>
      </w:r>
      <w:r>
        <w:rPr>
          <w:rFonts w:ascii="TimesNewRomanPS-ItalicMT" w:hAnsi="TimesNewRomanPS-ItalicMT" w:cs="TimesNewRomanPS-ItalicMT"/>
          <w:iCs/>
          <w:szCs w:val="22"/>
        </w:rPr>
        <w:t xml:space="preserve">The Proposed Action is located entirely within a State Nature and Historic Preserve Area as described below in </w:t>
      </w:r>
      <w:r>
        <w:rPr>
          <w:rFonts w:ascii="TimesNewRomanPS-ItalicMT" w:hAnsi="TimesNewRomanPS-ItalicMT" w:cs="TimesNewRomanPS-ItalicMT"/>
          <w:b/>
          <w:iCs/>
          <w:szCs w:val="22"/>
        </w:rPr>
        <w:t>Table 2</w:t>
      </w:r>
      <w:r>
        <w:rPr>
          <w:rFonts w:ascii="TimesNewRomanPS-ItalicMT" w:hAnsi="TimesNewRomanPS-ItalicMT" w:cs="TimesNewRomanPS-ItalicMT"/>
          <w:iCs/>
          <w:szCs w:val="22"/>
        </w:rPr>
        <w:t>.</w:t>
      </w:r>
    </w:p>
    <w:p w14:paraId="1E712A7F" w14:textId="77777777" w:rsidR="001952AE" w:rsidRDefault="00001555">
      <w:pPr>
        <w:pStyle w:val="ListParagraph"/>
        <w:autoSpaceDE w:val="0"/>
        <w:spacing w:after="0"/>
        <w:ind w:left="360"/>
        <w:jc w:val="left"/>
        <w:rPr>
          <w:rFonts w:ascii="TimesNewRomanPS-ItalicMT" w:hAnsi="TimesNewRomanPS-ItalicMT" w:cs="TimesNewRomanPS-ItalicMT"/>
          <w:i/>
          <w:iCs/>
          <w:szCs w:val="22"/>
        </w:rPr>
      </w:pPr>
      <w:r>
        <w:rPr>
          <w:rFonts w:ascii="TimesNewRomanPS-ItalicMT" w:hAnsi="TimesNewRomanPS-ItalicMT" w:cs="TimesNewRomanPS-ItalicMT"/>
          <w:i/>
          <w:iCs/>
          <w:szCs w:val="22"/>
        </w:rPr>
        <w:t xml:space="preserve"> </w:t>
      </w:r>
    </w:p>
    <w:p w14:paraId="1E712A80" w14:textId="45A85026" w:rsidR="001952AE" w:rsidRDefault="001952AE">
      <w:pPr>
        <w:pageBreakBefore/>
        <w:spacing w:after="0"/>
        <w:jc w:val="left"/>
        <w:rPr>
          <w:rFonts w:ascii="TimesNewRomanPS-ItalicMT" w:hAnsi="TimesNewRomanPS-ItalicMT" w:cs="TimesNewRomanPS-ItalicMT"/>
          <w:i/>
          <w:iCs/>
          <w:szCs w:val="22"/>
        </w:rPr>
      </w:pPr>
    </w:p>
    <w:p w14:paraId="1E712A81" w14:textId="77777777" w:rsidR="001952AE" w:rsidRDefault="00001555">
      <w:pPr>
        <w:pStyle w:val="ListParagraph"/>
        <w:autoSpaceDE w:val="0"/>
        <w:spacing w:after="0"/>
        <w:ind w:left="360"/>
        <w:jc w:val="left"/>
        <w:rPr>
          <w:rFonts w:ascii="TimesNewRomanPS-ItalicMT" w:hAnsi="TimesNewRomanPS-ItalicMT" w:cs="TimesNewRomanPS-ItalicMT"/>
          <w:b/>
          <w:iCs/>
          <w:szCs w:val="22"/>
        </w:rPr>
      </w:pPr>
      <w:r>
        <w:rPr>
          <w:rFonts w:ascii="TimesNewRomanPS-ItalicMT" w:hAnsi="TimesNewRomanPS-ItalicMT" w:cs="TimesNewRomanPS-ItalicMT"/>
          <w:b/>
          <w:iCs/>
          <w:szCs w:val="22"/>
        </w:rPr>
        <w:t>Table 2: State Nature &amp; Historic Preserve Areas within One-Mile of Project Site</w:t>
      </w:r>
    </w:p>
    <w:tbl>
      <w:tblPr>
        <w:tblW w:w="8766" w:type="dxa"/>
        <w:tblInd w:w="360" w:type="dxa"/>
        <w:tblCellMar>
          <w:left w:w="10" w:type="dxa"/>
          <w:right w:w="10" w:type="dxa"/>
        </w:tblCellMar>
        <w:tblLook w:val="04A0" w:firstRow="1" w:lastRow="0" w:firstColumn="1" w:lastColumn="0" w:noHBand="0" w:noVBand="1"/>
      </w:tblPr>
      <w:tblGrid>
        <w:gridCol w:w="2191"/>
        <w:gridCol w:w="2191"/>
        <w:gridCol w:w="2192"/>
        <w:gridCol w:w="2192"/>
      </w:tblGrid>
      <w:tr w:rsidR="001952AE" w14:paraId="1E712A86" w14:textId="77777777">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82" w14:textId="77777777" w:rsidR="001952AE" w:rsidRDefault="00001555">
            <w:pPr>
              <w:pStyle w:val="ListParagraph"/>
              <w:autoSpaceDE w:val="0"/>
              <w:spacing w:after="0"/>
              <w:ind w:left="0"/>
              <w:jc w:val="left"/>
              <w:rPr>
                <w:rFonts w:ascii="TimesNewRomanPS-ItalicMT" w:hAnsi="TimesNewRomanPS-ItalicMT" w:cs="TimesNewRomanPS-ItalicMT"/>
                <w:b/>
                <w:iCs/>
                <w:szCs w:val="22"/>
              </w:rPr>
            </w:pPr>
            <w:r>
              <w:rPr>
                <w:rFonts w:ascii="TimesNewRomanPS-ItalicMT" w:hAnsi="TimesNewRomanPS-ItalicMT" w:cs="TimesNewRomanPS-ItalicMT"/>
                <w:b/>
                <w:iCs/>
                <w:szCs w:val="22"/>
              </w:rPr>
              <w:t>Resource</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83" w14:textId="77777777" w:rsidR="001952AE" w:rsidRDefault="00001555">
            <w:pPr>
              <w:pStyle w:val="ListParagraph"/>
              <w:autoSpaceDE w:val="0"/>
              <w:spacing w:after="0"/>
              <w:ind w:left="0"/>
              <w:jc w:val="left"/>
              <w:rPr>
                <w:rFonts w:ascii="TimesNewRomanPS-ItalicMT" w:hAnsi="TimesNewRomanPS-ItalicMT" w:cs="TimesNewRomanPS-ItalicMT"/>
                <w:b/>
                <w:iCs/>
                <w:szCs w:val="22"/>
              </w:rPr>
            </w:pPr>
            <w:r>
              <w:rPr>
                <w:rFonts w:ascii="TimesNewRomanPS-ItalicMT" w:hAnsi="TimesNewRomanPS-ItalicMT" w:cs="TimesNewRomanPS-ItalicMT"/>
                <w:b/>
                <w:iCs/>
                <w:szCs w:val="22"/>
              </w:rPr>
              <w:t>Map ID</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84" w14:textId="77777777" w:rsidR="001952AE" w:rsidRDefault="00001555">
            <w:pPr>
              <w:pStyle w:val="ListParagraph"/>
              <w:autoSpaceDE w:val="0"/>
              <w:spacing w:after="0"/>
              <w:ind w:left="0"/>
              <w:jc w:val="left"/>
              <w:rPr>
                <w:rFonts w:ascii="TimesNewRomanPS-ItalicMT" w:hAnsi="TimesNewRomanPS-ItalicMT" w:cs="TimesNewRomanPS-ItalicMT"/>
                <w:b/>
                <w:iCs/>
                <w:szCs w:val="22"/>
              </w:rPr>
            </w:pPr>
            <w:r>
              <w:rPr>
                <w:rFonts w:ascii="TimesNewRomanPS-ItalicMT" w:hAnsi="TimesNewRomanPS-ItalicMT" w:cs="TimesNewRomanPS-ItalicMT"/>
                <w:b/>
                <w:iCs/>
                <w:szCs w:val="22"/>
              </w:rPr>
              <w:t>Location</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85" w14:textId="77777777" w:rsidR="001952AE" w:rsidRDefault="00001555">
            <w:pPr>
              <w:pStyle w:val="ListParagraph"/>
              <w:autoSpaceDE w:val="0"/>
              <w:spacing w:after="0"/>
              <w:ind w:left="0"/>
              <w:jc w:val="left"/>
              <w:rPr>
                <w:rFonts w:ascii="TimesNewRomanPS-ItalicMT" w:hAnsi="TimesNewRomanPS-ItalicMT" w:cs="TimesNewRomanPS-ItalicMT"/>
                <w:b/>
                <w:iCs/>
                <w:szCs w:val="22"/>
              </w:rPr>
            </w:pPr>
            <w:r>
              <w:rPr>
                <w:rFonts w:ascii="TimesNewRomanPS-ItalicMT" w:hAnsi="TimesNewRomanPS-ItalicMT" w:cs="TimesNewRomanPS-ItalicMT"/>
                <w:b/>
                <w:iCs/>
                <w:szCs w:val="22"/>
              </w:rPr>
              <w:t>Approximate Location</w:t>
            </w:r>
          </w:p>
        </w:tc>
      </w:tr>
      <w:tr w:rsidR="001952AE" w14:paraId="1E712A8C" w14:textId="77777777">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87" w14:textId="77777777" w:rsidR="001952AE" w:rsidRDefault="00001555">
            <w:pPr>
              <w:autoSpaceDE w:val="0"/>
              <w:spacing w:after="0"/>
              <w:jc w:val="left"/>
              <w:rPr>
                <w:rFonts w:ascii="TimesNewRomanPS-ItalicMT" w:hAnsi="TimesNewRomanPS-ItalicMT" w:cs="TimesNewRomanPS-ItalicMT"/>
                <w:b/>
                <w:iCs/>
                <w:szCs w:val="22"/>
              </w:rPr>
            </w:pPr>
            <w:r>
              <w:rPr>
                <w:rFonts w:ascii="TimesNewRomanPS-ItalicMT" w:hAnsi="TimesNewRomanPS-ItalicMT" w:cs="TimesNewRomanPS-ItalicMT"/>
                <w:b/>
                <w:iCs/>
                <w:szCs w:val="22"/>
              </w:rPr>
              <w:t>Long Island State Pine Barrens –</w:t>
            </w:r>
          </w:p>
          <w:p w14:paraId="1E712A88" w14:textId="77777777" w:rsidR="001952AE" w:rsidRDefault="00001555">
            <w:pPr>
              <w:autoSpaceDE w:val="0"/>
              <w:spacing w:after="0"/>
              <w:jc w:val="left"/>
              <w:rPr>
                <w:rFonts w:ascii="TimesNewRomanPS-ItalicMT" w:hAnsi="TimesNewRomanPS-ItalicMT" w:cs="TimesNewRomanPS-ItalicMT"/>
                <w:b/>
                <w:iCs/>
                <w:szCs w:val="22"/>
              </w:rPr>
            </w:pPr>
            <w:r>
              <w:rPr>
                <w:rFonts w:ascii="TimesNewRomanPS-ItalicMT" w:hAnsi="TimesNewRomanPS-ItalicMT" w:cs="TimesNewRomanPS-ItalicMT"/>
                <w:b/>
                <w:iCs/>
                <w:szCs w:val="22"/>
              </w:rPr>
              <w:t>Compatible Growth Area</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89" w14:textId="77777777" w:rsidR="001952AE" w:rsidRDefault="00001555">
            <w:pPr>
              <w:pStyle w:val="ListParagraph"/>
              <w:autoSpaceDE w:val="0"/>
              <w:spacing w:after="0"/>
              <w:ind w:left="0"/>
              <w:jc w:val="left"/>
              <w:rPr>
                <w:rFonts w:ascii="TimesNewRomanPS-ItalicMT" w:hAnsi="TimesNewRomanPS-ItalicMT" w:cs="TimesNewRomanPS-ItalicMT"/>
                <w:b/>
                <w:iCs/>
                <w:szCs w:val="22"/>
              </w:rPr>
            </w:pPr>
            <w:r>
              <w:rPr>
                <w:rFonts w:ascii="TimesNewRomanPS-ItalicMT" w:hAnsi="TimesNewRomanPS-ItalicMT" w:cs="TimesNewRomanPS-ItalicMT"/>
                <w:b/>
                <w:iCs/>
                <w:szCs w:val="22"/>
              </w:rPr>
              <w:t>PA01</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8A" w14:textId="77777777" w:rsidR="001952AE" w:rsidRDefault="00001555">
            <w:pPr>
              <w:pStyle w:val="ListParagraph"/>
              <w:autoSpaceDE w:val="0"/>
              <w:spacing w:after="0"/>
              <w:ind w:left="0"/>
              <w:jc w:val="left"/>
              <w:rPr>
                <w:rFonts w:ascii="TimesNewRomanPS-ItalicMT" w:hAnsi="TimesNewRomanPS-ItalicMT" w:cs="TimesNewRomanPS-ItalicMT"/>
                <w:b/>
                <w:iCs/>
                <w:szCs w:val="22"/>
              </w:rPr>
            </w:pPr>
            <w:r>
              <w:rPr>
                <w:rFonts w:ascii="TimesNewRomanPS-ItalicMT" w:hAnsi="TimesNewRomanPS-ItalicMT" w:cs="TimesNewRomanPS-ItalicMT"/>
                <w:b/>
                <w:iCs/>
                <w:szCs w:val="22"/>
              </w:rPr>
              <w:t>Medford, NY 11763</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2A8B" w14:textId="77777777" w:rsidR="001952AE" w:rsidRDefault="00001555">
            <w:pPr>
              <w:pStyle w:val="ListParagraph"/>
              <w:autoSpaceDE w:val="0"/>
              <w:spacing w:after="0"/>
              <w:ind w:left="0"/>
              <w:jc w:val="left"/>
              <w:rPr>
                <w:rFonts w:ascii="TimesNewRomanPS-ItalicMT" w:hAnsi="TimesNewRomanPS-ItalicMT" w:cs="TimesNewRomanPS-ItalicMT"/>
                <w:b/>
                <w:iCs/>
                <w:szCs w:val="22"/>
              </w:rPr>
            </w:pPr>
            <w:r>
              <w:rPr>
                <w:rFonts w:ascii="TimesNewRomanPS-ItalicMT" w:hAnsi="TimesNewRomanPS-ItalicMT" w:cs="TimesNewRomanPS-ItalicMT"/>
                <w:b/>
                <w:iCs/>
                <w:szCs w:val="22"/>
              </w:rPr>
              <w:t>0.0 mile from Proposed Action Site</w:t>
            </w:r>
          </w:p>
        </w:tc>
      </w:tr>
    </w:tbl>
    <w:p w14:paraId="1E712A8D" w14:textId="77777777" w:rsidR="001952AE" w:rsidRDefault="001952AE">
      <w:pPr>
        <w:pStyle w:val="ListParagraph"/>
        <w:autoSpaceDE w:val="0"/>
        <w:spacing w:after="0"/>
        <w:ind w:left="360"/>
        <w:jc w:val="left"/>
        <w:rPr>
          <w:rFonts w:ascii="TimesNewRomanPS-ItalicMT" w:hAnsi="TimesNewRomanPS-ItalicMT" w:cs="TimesNewRomanPS-ItalicMT"/>
          <w:b/>
          <w:iCs/>
          <w:szCs w:val="22"/>
        </w:rPr>
      </w:pPr>
    </w:p>
    <w:p w14:paraId="1E712A8E" w14:textId="77777777" w:rsidR="001952AE" w:rsidRDefault="001952AE">
      <w:pPr>
        <w:pStyle w:val="ListParagraph"/>
        <w:autoSpaceDE w:val="0"/>
        <w:spacing w:after="0"/>
        <w:jc w:val="left"/>
        <w:rPr>
          <w:rFonts w:ascii="TimesNewRomanPS-ItalicMT" w:hAnsi="TimesNewRomanPS-ItalicMT" w:cs="TimesNewRomanPS-ItalicMT"/>
          <w:b/>
          <w:iCs/>
          <w:szCs w:val="22"/>
        </w:rPr>
      </w:pPr>
    </w:p>
    <w:p w14:paraId="1E712A8F" w14:textId="77777777" w:rsidR="001952AE" w:rsidRDefault="00001555">
      <w:pPr>
        <w:autoSpaceDE w:val="0"/>
        <w:spacing w:after="200" w:line="276" w:lineRule="auto"/>
        <w:rPr>
          <w:rFonts w:ascii="TimesNewRomanPS-ItalicMT" w:hAnsi="TimesNewRomanPS-ItalicMT" w:cs="TimesNewRomanPS-ItalicMT"/>
          <w:iCs/>
          <w:szCs w:val="22"/>
        </w:rPr>
      </w:pPr>
      <w:r>
        <w:rPr>
          <w:rFonts w:ascii="TimesNewRomanPS-ItalicMT" w:hAnsi="TimesNewRomanPS-ItalicMT" w:cs="TimesNewRomanPS-ItalicMT"/>
          <w:iCs/>
          <w:szCs w:val="22"/>
        </w:rPr>
        <w:t>The Long Island State Pine Barrens comprises approximately 105,000 acres of eastern Long Island.  The Pine Barrens is comprised of two sub-regions, the Core Preservation Area which contains publicly owned and preserved land a in which new development is prohibited, and the Compatible Growth Area, which allows limited, environmentally-compatible development.  The Proposed Action is within the Compatible Growth Area.</w:t>
      </w:r>
    </w:p>
    <w:p w14:paraId="1E712A90" w14:textId="77777777" w:rsidR="001952AE" w:rsidRDefault="00001555">
      <w:pPr>
        <w:pStyle w:val="ListParagraph"/>
        <w:numPr>
          <w:ilvl w:val="0"/>
          <w:numId w:val="10"/>
        </w:numPr>
        <w:autoSpaceDE w:val="0"/>
        <w:spacing w:after="200" w:line="276" w:lineRule="auto"/>
        <w:ind w:left="360"/>
      </w:pPr>
      <w:r>
        <w:rPr>
          <w:i/>
        </w:rPr>
        <w:t>Palisades Park; [Palisades Interstate Park Commission]</w:t>
      </w:r>
      <w:r>
        <w:t>. Palisades Park is not located on Long Island.</w:t>
      </w:r>
    </w:p>
    <w:p w14:paraId="1E712A91" w14:textId="77777777" w:rsidR="001952AE" w:rsidRDefault="00001555">
      <w:pPr>
        <w:pStyle w:val="ListParagraph"/>
        <w:numPr>
          <w:ilvl w:val="0"/>
          <w:numId w:val="10"/>
        </w:numPr>
        <w:autoSpaceDE w:val="0"/>
        <w:spacing w:after="200" w:line="276" w:lineRule="auto"/>
        <w:ind w:left="360"/>
      </w:pPr>
      <w:r>
        <w:rPr>
          <w:i/>
        </w:rPr>
        <w:t xml:space="preserve">Bond Act Properties purchased under Exceptional Scenic Beauty or Open Space category. </w:t>
      </w:r>
      <w:r>
        <w:t>No Bond Act Properties purchased under Exceptional Scenic Beauty or Open Space category were identified within the Study Area.</w:t>
      </w:r>
    </w:p>
    <w:p w14:paraId="1E712A92" w14:textId="77777777" w:rsidR="001952AE" w:rsidRDefault="00001555">
      <w:pPr>
        <w:pStyle w:val="ListParagraph"/>
        <w:autoSpaceDE w:val="0"/>
        <w:spacing w:after="200" w:line="276" w:lineRule="auto"/>
        <w:ind w:left="0"/>
        <w:jc w:val="left"/>
        <w:rPr>
          <w:b/>
        </w:rPr>
      </w:pPr>
      <w:r>
        <w:rPr>
          <w:b/>
        </w:rPr>
        <w:t>PUBLIC PARKS AND RECREATION SITES</w:t>
      </w:r>
    </w:p>
    <w:p w14:paraId="1E712A93" w14:textId="4B5B11A9" w:rsidR="001952AE" w:rsidRDefault="00001555">
      <w:pPr>
        <w:pStyle w:val="ListParagraph"/>
        <w:autoSpaceDE w:val="0"/>
        <w:spacing w:after="200" w:line="276" w:lineRule="auto"/>
        <w:ind w:left="0"/>
      </w:pPr>
      <w:r>
        <w:t xml:space="preserve">An inventory of additional visual resources including public parks and recreation areas is also considered within the context of the NYSDEC Visual Resources Policy.  Six (6) county, municipal, and privately-owned recreational sites were identified within the Study Area, as summarized in </w:t>
      </w:r>
      <w:r>
        <w:rPr>
          <w:b/>
        </w:rPr>
        <w:t>Table 3</w:t>
      </w:r>
      <w:r>
        <w:t xml:space="preserve"> below (refer to </w:t>
      </w:r>
      <w:r w:rsidRPr="009D3A2B">
        <w:t>Figure A-1</w:t>
      </w:r>
      <w:r w:rsidR="006C42FF">
        <w:t xml:space="preserve">: Visual Resources Map – </w:t>
      </w:r>
      <w:r w:rsidR="006C42FF">
        <w:rPr>
          <w:b/>
        </w:rPr>
        <w:t>Appendix A</w:t>
      </w:r>
      <w:r>
        <w:t>).</w:t>
      </w:r>
    </w:p>
    <w:p w14:paraId="1E712A94" w14:textId="77777777" w:rsidR="001952AE" w:rsidRDefault="001952AE">
      <w:pPr>
        <w:pStyle w:val="ListParagraph"/>
        <w:autoSpaceDE w:val="0"/>
        <w:spacing w:after="0"/>
        <w:ind w:left="0"/>
        <w:jc w:val="left"/>
      </w:pPr>
    </w:p>
    <w:p w14:paraId="1E712A95" w14:textId="77777777" w:rsidR="001952AE" w:rsidRDefault="00001555">
      <w:pPr>
        <w:pStyle w:val="ListParagraph"/>
        <w:autoSpaceDE w:val="0"/>
        <w:spacing w:after="0"/>
        <w:ind w:left="0"/>
        <w:jc w:val="center"/>
        <w:rPr>
          <w:rFonts w:ascii="TimesNewRomanPS-BoldMT" w:hAnsi="TimesNewRomanPS-BoldMT" w:cs="TimesNewRomanPS-BoldMT"/>
          <w:b/>
          <w:bCs/>
          <w:szCs w:val="22"/>
        </w:rPr>
      </w:pPr>
      <w:r>
        <w:rPr>
          <w:rFonts w:ascii="TimesNewRomanPS-BoldMT" w:hAnsi="TimesNewRomanPS-BoldMT" w:cs="TimesNewRomanPS-BoldMT"/>
          <w:b/>
          <w:bCs/>
          <w:szCs w:val="22"/>
        </w:rPr>
        <w:t>Table 3: Potentially Significant Local Sites within the Study Area</w:t>
      </w:r>
    </w:p>
    <w:p w14:paraId="1E712A96" w14:textId="77777777" w:rsidR="001952AE" w:rsidRDefault="001952AE">
      <w:pPr>
        <w:overflowPunct w:val="0"/>
        <w:autoSpaceDE w:val="0"/>
        <w:spacing w:before="9" w:after="0"/>
        <w:jc w:val="left"/>
        <w:rPr>
          <w:sz w:val="4"/>
          <w:szCs w:val="4"/>
        </w:rPr>
      </w:pPr>
    </w:p>
    <w:tbl>
      <w:tblPr>
        <w:tblW w:w="8530" w:type="dxa"/>
        <w:tblInd w:w="119" w:type="dxa"/>
        <w:tblLayout w:type="fixed"/>
        <w:tblCellMar>
          <w:left w:w="10" w:type="dxa"/>
          <w:right w:w="10" w:type="dxa"/>
        </w:tblCellMar>
        <w:tblLook w:val="04A0" w:firstRow="1" w:lastRow="0" w:firstColumn="1" w:lastColumn="0" w:noHBand="0" w:noVBand="1"/>
      </w:tblPr>
      <w:tblGrid>
        <w:gridCol w:w="2140"/>
        <w:gridCol w:w="1170"/>
        <w:gridCol w:w="2430"/>
        <w:gridCol w:w="2790"/>
      </w:tblGrid>
      <w:tr w:rsidR="001952AE" w14:paraId="1E712A9B" w14:textId="77777777">
        <w:trPr>
          <w:cantSplit/>
          <w:trHeight w:hRule="exact" w:val="373"/>
        </w:trPr>
        <w:tc>
          <w:tcPr>
            <w:tcW w:w="2140" w:type="dxa"/>
            <w:tcBorders>
              <w:top w:val="single" w:sz="8" w:space="0" w:color="000000"/>
              <w:left w:val="single" w:sz="8" w:space="0" w:color="000000"/>
              <w:bottom w:val="single" w:sz="4" w:space="0" w:color="000000"/>
              <w:right w:val="single" w:sz="8" w:space="0" w:color="000000"/>
            </w:tcBorders>
            <w:shd w:val="clear" w:color="auto" w:fill="F1F1F1"/>
            <w:tcMar>
              <w:top w:w="0" w:type="dxa"/>
              <w:left w:w="0" w:type="dxa"/>
              <w:bottom w:w="0" w:type="dxa"/>
              <w:right w:w="0" w:type="dxa"/>
            </w:tcMar>
          </w:tcPr>
          <w:p w14:paraId="1E712A97" w14:textId="77777777" w:rsidR="001952AE" w:rsidRDefault="00001555">
            <w:pPr>
              <w:overflowPunct w:val="0"/>
              <w:autoSpaceDE w:val="0"/>
              <w:spacing w:before="52" w:after="0"/>
              <w:ind w:left="98"/>
              <w:jc w:val="left"/>
            </w:pPr>
            <w:bookmarkStart w:id="4" w:name="3.2__Public_Parks_and_Recreation_Sites"/>
            <w:bookmarkStart w:id="5" w:name="bookmark0"/>
            <w:bookmarkEnd w:id="4"/>
            <w:bookmarkEnd w:id="5"/>
            <w:r>
              <w:rPr>
                <w:b/>
                <w:bCs/>
                <w:szCs w:val="22"/>
              </w:rPr>
              <w:t>Resource</w:t>
            </w:r>
          </w:p>
        </w:tc>
        <w:tc>
          <w:tcPr>
            <w:tcW w:w="1170" w:type="dxa"/>
            <w:tcBorders>
              <w:top w:val="single" w:sz="8" w:space="0" w:color="000000"/>
              <w:left w:val="single" w:sz="8" w:space="0" w:color="000000"/>
              <w:bottom w:val="single" w:sz="4" w:space="0" w:color="000000"/>
              <w:right w:val="single" w:sz="8" w:space="0" w:color="000000"/>
            </w:tcBorders>
            <w:shd w:val="clear" w:color="auto" w:fill="F1F1F1"/>
            <w:tcMar>
              <w:top w:w="0" w:type="dxa"/>
              <w:left w:w="0" w:type="dxa"/>
              <w:bottom w:w="0" w:type="dxa"/>
              <w:right w:w="0" w:type="dxa"/>
            </w:tcMar>
          </w:tcPr>
          <w:p w14:paraId="1E712A98" w14:textId="77777777" w:rsidR="001952AE" w:rsidRDefault="00001555">
            <w:pPr>
              <w:overflowPunct w:val="0"/>
              <w:autoSpaceDE w:val="0"/>
              <w:spacing w:before="52" w:after="0"/>
              <w:ind w:left="98"/>
              <w:jc w:val="left"/>
            </w:pPr>
            <w:r>
              <w:rPr>
                <w:b/>
                <w:bCs/>
                <w:szCs w:val="22"/>
              </w:rPr>
              <w:t>Map ID</w:t>
            </w:r>
          </w:p>
        </w:tc>
        <w:tc>
          <w:tcPr>
            <w:tcW w:w="2430" w:type="dxa"/>
            <w:tcBorders>
              <w:top w:val="single" w:sz="8" w:space="0" w:color="000000"/>
              <w:left w:val="single" w:sz="8" w:space="0" w:color="000000"/>
              <w:bottom w:val="single" w:sz="4" w:space="0" w:color="000000"/>
              <w:right w:val="single" w:sz="8" w:space="0" w:color="000000"/>
            </w:tcBorders>
            <w:shd w:val="clear" w:color="auto" w:fill="F1F1F1"/>
            <w:tcMar>
              <w:top w:w="0" w:type="dxa"/>
              <w:left w:w="0" w:type="dxa"/>
              <w:bottom w:w="0" w:type="dxa"/>
              <w:right w:w="0" w:type="dxa"/>
            </w:tcMar>
          </w:tcPr>
          <w:p w14:paraId="1E712A99" w14:textId="77777777" w:rsidR="001952AE" w:rsidRDefault="00001555">
            <w:pPr>
              <w:overflowPunct w:val="0"/>
              <w:autoSpaceDE w:val="0"/>
              <w:spacing w:before="52" w:after="0"/>
              <w:ind w:left="98"/>
              <w:jc w:val="left"/>
            </w:pPr>
            <w:r>
              <w:rPr>
                <w:b/>
                <w:bCs/>
                <w:szCs w:val="22"/>
              </w:rPr>
              <w:t>Location</w:t>
            </w:r>
          </w:p>
        </w:tc>
        <w:tc>
          <w:tcPr>
            <w:tcW w:w="2790" w:type="dxa"/>
            <w:tcBorders>
              <w:top w:val="single" w:sz="8" w:space="0" w:color="000000"/>
              <w:left w:val="single" w:sz="8" w:space="0" w:color="000000"/>
              <w:bottom w:val="single" w:sz="4" w:space="0" w:color="000000"/>
              <w:right w:val="single" w:sz="8" w:space="0" w:color="000000"/>
            </w:tcBorders>
            <w:shd w:val="clear" w:color="auto" w:fill="F1F1F1"/>
            <w:tcMar>
              <w:top w:w="0" w:type="dxa"/>
              <w:left w:w="0" w:type="dxa"/>
              <w:bottom w:w="0" w:type="dxa"/>
              <w:right w:w="0" w:type="dxa"/>
            </w:tcMar>
          </w:tcPr>
          <w:p w14:paraId="1E712A9A" w14:textId="77777777" w:rsidR="001952AE" w:rsidRDefault="00001555">
            <w:pPr>
              <w:overflowPunct w:val="0"/>
              <w:autoSpaceDE w:val="0"/>
              <w:spacing w:before="52" w:after="0"/>
              <w:ind w:left="110"/>
              <w:jc w:val="left"/>
            </w:pPr>
            <w:r>
              <w:rPr>
                <w:b/>
                <w:bCs/>
                <w:szCs w:val="22"/>
              </w:rPr>
              <w:t>Approximate Location</w:t>
            </w:r>
          </w:p>
        </w:tc>
      </w:tr>
      <w:tr w:rsidR="001952AE" w14:paraId="1E712AA1" w14:textId="77777777">
        <w:trPr>
          <w:cantSplit/>
          <w:trHeight w:hRule="exact" w:val="516"/>
        </w:trPr>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9C" w14:textId="77777777" w:rsidR="001952AE" w:rsidRDefault="00001555">
            <w:pPr>
              <w:overflowPunct w:val="0"/>
              <w:autoSpaceDE w:val="0"/>
              <w:spacing w:after="0"/>
              <w:ind w:left="103" w:right="873"/>
              <w:jc w:val="left"/>
            </w:pPr>
            <w:r>
              <w:rPr>
                <w:szCs w:val="22"/>
              </w:rPr>
              <w:t>Holy Sepulchre Cemetery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9D" w14:textId="77777777" w:rsidR="001952AE" w:rsidRDefault="00001555">
            <w:pPr>
              <w:overflowPunct w:val="0"/>
              <w:autoSpaceDE w:val="0"/>
              <w:spacing w:before="126" w:after="0"/>
              <w:ind w:left="103"/>
              <w:jc w:val="left"/>
            </w:pPr>
            <w:r>
              <w:rPr>
                <w:szCs w:val="22"/>
              </w:rPr>
              <w:t>PS01</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9E" w14:textId="77777777" w:rsidR="001952AE" w:rsidRDefault="00001555">
            <w:pPr>
              <w:overflowPunct w:val="0"/>
              <w:autoSpaceDE w:val="0"/>
              <w:spacing w:after="0" w:line="251" w:lineRule="exact"/>
              <w:ind w:left="103"/>
              <w:jc w:val="left"/>
              <w:rPr>
                <w:szCs w:val="22"/>
              </w:rPr>
            </w:pPr>
            <w:r>
              <w:rPr>
                <w:szCs w:val="22"/>
              </w:rPr>
              <w:t>3442 NY-112</w:t>
            </w:r>
          </w:p>
          <w:p w14:paraId="1E712A9F" w14:textId="77777777" w:rsidR="001952AE" w:rsidRDefault="00001555">
            <w:pPr>
              <w:overflowPunct w:val="0"/>
              <w:autoSpaceDE w:val="0"/>
              <w:spacing w:after="0" w:line="252" w:lineRule="exact"/>
              <w:ind w:left="103"/>
              <w:jc w:val="left"/>
            </w:pPr>
            <w:r>
              <w:rPr>
                <w:szCs w:val="22"/>
              </w:rPr>
              <w:t>Coram, NY 11727</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A0" w14:textId="77777777" w:rsidR="001952AE" w:rsidRDefault="00001555">
            <w:pPr>
              <w:overflowPunct w:val="0"/>
              <w:autoSpaceDE w:val="0"/>
              <w:spacing w:before="126" w:after="0"/>
              <w:ind w:left="120"/>
              <w:jc w:val="left"/>
            </w:pPr>
            <w:r>
              <w:rPr>
                <w:szCs w:val="22"/>
              </w:rPr>
              <w:t>0.0 mile to project site</w:t>
            </w:r>
          </w:p>
        </w:tc>
      </w:tr>
      <w:tr w:rsidR="001952AE" w14:paraId="1E712AA7" w14:textId="77777777">
        <w:trPr>
          <w:cantSplit/>
          <w:trHeight w:hRule="exact" w:val="516"/>
        </w:trPr>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A2" w14:textId="77777777" w:rsidR="001952AE" w:rsidRDefault="00001555">
            <w:pPr>
              <w:overflowPunct w:val="0"/>
              <w:autoSpaceDE w:val="0"/>
              <w:spacing w:after="0"/>
              <w:ind w:left="103" w:right="543"/>
              <w:jc w:val="left"/>
            </w:pPr>
            <w:r>
              <w:rPr>
                <w:szCs w:val="22"/>
              </w:rPr>
              <w:t>Country Fair Entertainment Park</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A3" w14:textId="77777777" w:rsidR="001952AE" w:rsidRDefault="00001555">
            <w:pPr>
              <w:overflowPunct w:val="0"/>
              <w:autoSpaceDE w:val="0"/>
              <w:spacing w:before="126" w:after="0"/>
              <w:ind w:left="103"/>
              <w:jc w:val="left"/>
            </w:pPr>
            <w:r>
              <w:rPr>
                <w:szCs w:val="22"/>
              </w:rPr>
              <w:t>PS02</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A4" w14:textId="77777777" w:rsidR="001952AE" w:rsidRDefault="00001555">
            <w:pPr>
              <w:overflowPunct w:val="0"/>
              <w:autoSpaceDE w:val="0"/>
              <w:spacing w:after="0" w:line="251" w:lineRule="exact"/>
              <w:ind w:left="103"/>
              <w:jc w:val="left"/>
              <w:rPr>
                <w:szCs w:val="22"/>
              </w:rPr>
            </w:pPr>
            <w:r>
              <w:rPr>
                <w:szCs w:val="22"/>
              </w:rPr>
              <w:t>3351 NY-112</w:t>
            </w:r>
          </w:p>
          <w:p w14:paraId="1E712AA5" w14:textId="77777777" w:rsidR="001952AE" w:rsidRDefault="00001555">
            <w:pPr>
              <w:overflowPunct w:val="0"/>
              <w:autoSpaceDE w:val="0"/>
              <w:spacing w:after="0" w:line="252" w:lineRule="exact"/>
              <w:ind w:left="103"/>
              <w:jc w:val="left"/>
            </w:pPr>
            <w:r>
              <w:rPr>
                <w:szCs w:val="22"/>
              </w:rPr>
              <w:t>Medford, NY 11763</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A6" w14:textId="77777777" w:rsidR="001952AE" w:rsidRDefault="00001555">
            <w:pPr>
              <w:overflowPunct w:val="0"/>
              <w:autoSpaceDE w:val="0"/>
              <w:spacing w:before="126" w:after="0"/>
              <w:ind w:left="120"/>
              <w:jc w:val="left"/>
            </w:pPr>
            <w:r>
              <w:rPr>
                <w:szCs w:val="22"/>
              </w:rPr>
              <w:t>0.23 mile from project site</w:t>
            </w:r>
          </w:p>
        </w:tc>
      </w:tr>
      <w:tr w:rsidR="001952AE" w14:paraId="1E712AAC" w14:textId="77777777">
        <w:trPr>
          <w:cantSplit/>
          <w:trHeight w:hRule="exact" w:val="516"/>
        </w:trPr>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A8" w14:textId="77777777" w:rsidR="001952AE" w:rsidRDefault="00001555">
            <w:pPr>
              <w:overflowPunct w:val="0"/>
              <w:autoSpaceDE w:val="0"/>
              <w:spacing w:before="126" w:after="0"/>
              <w:ind w:left="103"/>
              <w:jc w:val="left"/>
            </w:pPr>
            <w:r>
              <w:rPr>
                <w:szCs w:val="22"/>
              </w:rPr>
              <w:t>Overton Preserve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A9" w14:textId="77777777" w:rsidR="001952AE" w:rsidRDefault="00001555">
            <w:pPr>
              <w:overflowPunct w:val="0"/>
              <w:autoSpaceDE w:val="0"/>
              <w:spacing w:before="126" w:after="0"/>
              <w:ind w:left="103"/>
              <w:jc w:val="left"/>
            </w:pPr>
            <w:r>
              <w:rPr>
                <w:szCs w:val="22"/>
              </w:rPr>
              <w:t>PS03</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AA" w14:textId="77777777" w:rsidR="001952AE" w:rsidRDefault="00001555">
            <w:pPr>
              <w:overflowPunct w:val="0"/>
              <w:autoSpaceDE w:val="0"/>
              <w:spacing w:after="0"/>
              <w:ind w:left="103" w:right="292"/>
              <w:jc w:val="left"/>
            </w:pPr>
            <w:r>
              <w:rPr>
                <w:szCs w:val="22"/>
              </w:rPr>
              <w:t>David Overton Rd, Coram, NY 11727</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AB" w14:textId="77777777" w:rsidR="001952AE" w:rsidRDefault="00001555">
            <w:pPr>
              <w:overflowPunct w:val="0"/>
              <w:autoSpaceDE w:val="0"/>
              <w:spacing w:before="126" w:after="0"/>
              <w:ind w:left="120"/>
              <w:jc w:val="left"/>
            </w:pPr>
            <w:r>
              <w:rPr>
                <w:szCs w:val="22"/>
              </w:rPr>
              <w:t>0.45 mile from project site</w:t>
            </w:r>
          </w:p>
        </w:tc>
      </w:tr>
      <w:tr w:rsidR="001952AE" w14:paraId="1E712AB2" w14:textId="77777777">
        <w:trPr>
          <w:cantSplit/>
          <w:trHeight w:hRule="exact" w:val="516"/>
        </w:trPr>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AD" w14:textId="77777777" w:rsidR="001952AE" w:rsidRDefault="00001555">
            <w:pPr>
              <w:overflowPunct w:val="0"/>
              <w:autoSpaceDE w:val="0"/>
              <w:spacing w:before="126" w:after="0"/>
              <w:ind w:left="103"/>
              <w:jc w:val="left"/>
            </w:pPr>
            <w:r>
              <w:rPr>
                <w:szCs w:val="22"/>
              </w:rPr>
              <w:t>Blue Ridge Golf Club</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AE" w14:textId="77777777" w:rsidR="001952AE" w:rsidRDefault="00001555">
            <w:pPr>
              <w:overflowPunct w:val="0"/>
              <w:autoSpaceDE w:val="0"/>
              <w:spacing w:before="126" w:after="0"/>
              <w:ind w:left="103"/>
              <w:jc w:val="left"/>
            </w:pPr>
            <w:r>
              <w:rPr>
                <w:szCs w:val="22"/>
              </w:rPr>
              <w:t>PS04</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AF" w14:textId="77777777" w:rsidR="001952AE" w:rsidRDefault="00001555">
            <w:pPr>
              <w:overflowPunct w:val="0"/>
              <w:autoSpaceDE w:val="0"/>
              <w:spacing w:after="0" w:line="251" w:lineRule="exact"/>
              <w:ind w:left="103"/>
              <w:jc w:val="left"/>
              <w:rPr>
                <w:szCs w:val="22"/>
              </w:rPr>
            </w:pPr>
            <w:r>
              <w:rPr>
                <w:szCs w:val="22"/>
              </w:rPr>
              <w:t>899 Golf Lane</w:t>
            </w:r>
          </w:p>
          <w:p w14:paraId="1E712AB0" w14:textId="77777777" w:rsidR="001952AE" w:rsidRDefault="00001555">
            <w:pPr>
              <w:overflowPunct w:val="0"/>
              <w:autoSpaceDE w:val="0"/>
              <w:spacing w:after="0" w:line="252" w:lineRule="exact"/>
              <w:ind w:left="103"/>
              <w:jc w:val="left"/>
            </w:pPr>
            <w:r>
              <w:rPr>
                <w:szCs w:val="22"/>
              </w:rPr>
              <w:t>Medford, NY 11763</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B1" w14:textId="77777777" w:rsidR="001952AE" w:rsidRDefault="00001555">
            <w:pPr>
              <w:overflowPunct w:val="0"/>
              <w:autoSpaceDE w:val="0"/>
              <w:spacing w:before="126" w:after="0"/>
              <w:ind w:left="120"/>
              <w:jc w:val="left"/>
            </w:pPr>
            <w:r>
              <w:rPr>
                <w:szCs w:val="22"/>
              </w:rPr>
              <w:t>0.47 mile from project site</w:t>
            </w:r>
          </w:p>
        </w:tc>
      </w:tr>
      <w:tr w:rsidR="001952AE" w14:paraId="1E712AB7" w14:textId="77777777">
        <w:trPr>
          <w:cantSplit/>
          <w:trHeight w:hRule="exact" w:val="516"/>
        </w:trPr>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B3" w14:textId="77777777" w:rsidR="001952AE" w:rsidRDefault="00001555">
            <w:pPr>
              <w:overflowPunct w:val="0"/>
              <w:autoSpaceDE w:val="0"/>
              <w:spacing w:after="0"/>
              <w:ind w:left="103" w:right="549"/>
              <w:jc w:val="left"/>
            </w:pPr>
            <w:r>
              <w:rPr>
                <w:szCs w:val="22"/>
              </w:rPr>
              <w:t>Glacier Ridge Bike Trail</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B4" w14:textId="77777777" w:rsidR="001952AE" w:rsidRDefault="00001555">
            <w:pPr>
              <w:overflowPunct w:val="0"/>
              <w:autoSpaceDE w:val="0"/>
              <w:spacing w:before="126" w:after="0"/>
              <w:ind w:left="103"/>
              <w:jc w:val="left"/>
            </w:pPr>
            <w:r>
              <w:rPr>
                <w:szCs w:val="22"/>
              </w:rPr>
              <w:t>PS05</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B5" w14:textId="77777777" w:rsidR="001952AE" w:rsidRDefault="00001555">
            <w:pPr>
              <w:overflowPunct w:val="0"/>
              <w:autoSpaceDE w:val="0"/>
              <w:spacing w:before="126" w:after="0"/>
              <w:ind w:left="103"/>
              <w:jc w:val="left"/>
            </w:pPr>
            <w:r>
              <w:rPr>
                <w:szCs w:val="22"/>
              </w:rPr>
              <w:t>Farmingville, NY 11738</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B6" w14:textId="77777777" w:rsidR="001952AE" w:rsidRDefault="00001555">
            <w:pPr>
              <w:overflowPunct w:val="0"/>
              <w:autoSpaceDE w:val="0"/>
              <w:spacing w:before="126" w:after="0"/>
              <w:ind w:left="120"/>
              <w:jc w:val="left"/>
            </w:pPr>
            <w:r>
              <w:rPr>
                <w:szCs w:val="22"/>
              </w:rPr>
              <w:t>0.52 mile from project site</w:t>
            </w:r>
          </w:p>
        </w:tc>
      </w:tr>
      <w:tr w:rsidR="001952AE" w14:paraId="1E712ABD" w14:textId="77777777">
        <w:trPr>
          <w:cantSplit/>
          <w:trHeight w:hRule="exact" w:val="516"/>
        </w:trPr>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B8" w14:textId="77777777" w:rsidR="001952AE" w:rsidRDefault="00001555">
            <w:pPr>
              <w:overflowPunct w:val="0"/>
              <w:autoSpaceDE w:val="0"/>
              <w:spacing w:after="0"/>
              <w:ind w:left="103" w:right="133"/>
              <w:jc w:val="left"/>
            </w:pPr>
            <w:r>
              <w:rPr>
                <w:szCs w:val="22"/>
              </w:rPr>
              <w:t>Bretton Woods Country Club</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B9" w14:textId="77777777" w:rsidR="001952AE" w:rsidRDefault="00001555">
            <w:pPr>
              <w:overflowPunct w:val="0"/>
              <w:autoSpaceDE w:val="0"/>
              <w:spacing w:before="126" w:after="0"/>
              <w:ind w:left="103"/>
              <w:jc w:val="left"/>
            </w:pPr>
            <w:r>
              <w:rPr>
                <w:szCs w:val="22"/>
              </w:rPr>
              <w:t>PS06</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BA" w14:textId="77777777" w:rsidR="001952AE" w:rsidRDefault="00001555">
            <w:pPr>
              <w:overflowPunct w:val="0"/>
              <w:autoSpaceDE w:val="0"/>
              <w:spacing w:after="0" w:line="251" w:lineRule="exact"/>
              <w:ind w:left="103"/>
              <w:jc w:val="left"/>
              <w:rPr>
                <w:szCs w:val="22"/>
              </w:rPr>
            </w:pPr>
            <w:r>
              <w:rPr>
                <w:szCs w:val="22"/>
              </w:rPr>
              <w:t>1027 Clubhouse Court</w:t>
            </w:r>
          </w:p>
          <w:p w14:paraId="1E712ABB" w14:textId="77777777" w:rsidR="001952AE" w:rsidRDefault="00001555">
            <w:pPr>
              <w:overflowPunct w:val="0"/>
              <w:autoSpaceDE w:val="0"/>
              <w:spacing w:after="0" w:line="252" w:lineRule="exact"/>
              <w:ind w:left="103"/>
              <w:jc w:val="left"/>
            </w:pPr>
            <w:r>
              <w:rPr>
                <w:szCs w:val="22"/>
              </w:rPr>
              <w:t>Coram, NY 11727</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12ABC" w14:textId="77777777" w:rsidR="001952AE" w:rsidRDefault="00001555">
            <w:pPr>
              <w:overflowPunct w:val="0"/>
              <w:autoSpaceDE w:val="0"/>
              <w:spacing w:before="126" w:after="0"/>
              <w:ind w:left="120"/>
              <w:jc w:val="left"/>
            </w:pPr>
            <w:r>
              <w:rPr>
                <w:szCs w:val="22"/>
              </w:rPr>
              <w:t>0.68 mile from project site.</w:t>
            </w:r>
          </w:p>
        </w:tc>
      </w:tr>
    </w:tbl>
    <w:p w14:paraId="7FC15AD4" w14:textId="77777777" w:rsidR="006C42FF" w:rsidRDefault="006C42FF">
      <w:pPr>
        <w:pStyle w:val="ListParagraph"/>
        <w:autoSpaceDE w:val="0"/>
        <w:spacing w:after="200" w:line="276" w:lineRule="auto"/>
        <w:ind w:left="0"/>
        <w:jc w:val="left"/>
        <w:rPr>
          <w:b/>
        </w:rPr>
      </w:pPr>
    </w:p>
    <w:p w14:paraId="1E712ABE" w14:textId="77777777" w:rsidR="001952AE" w:rsidRDefault="00001555">
      <w:pPr>
        <w:pStyle w:val="ListParagraph"/>
        <w:autoSpaceDE w:val="0"/>
        <w:spacing w:after="200" w:line="276" w:lineRule="auto"/>
        <w:ind w:left="0"/>
        <w:jc w:val="left"/>
        <w:rPr>
          <w:b/>
        </w:rPr>
      </w:pPr>
      <w:r>
        <w:rPr>
          <w:b/>
        </w:rPr>
        <w:t>VISUAL IMPACT ASSESSMENT</w:t>
      </w:r>
    </w:p>
    <w:p w14:paraId="1E712ABF" w14:textId="77777777" w:rsidR="001952AE" w:rsidRDefault="00001555">
      <w:pPr>
        <w:pStyle w:val="ListParagraph"/>
        <w:autoSpaceDE w:val="0"/>
        <w:spacing w:after="200" w:line="276" w:lineRule="auto"/>
        <w:ind w:left="0"/>
      </w:pPr>
      <w:r>
        <w:t xml:space="preserve">A field visit was conducted on November 15, 2018 to assist in the determination of potential visibility of the changes as a result of the Proposed Action from the visual resource locations inventoried in Section C above.  Photographs documenting the existing views towards NYS-112 from these resources are included in the Pre-Construction Photo Log – </w:t>
      </w:r>
      <w:r>
        <w:rPr>
          <w:b/>
        </w:rPr>
        <w:t>Appendix A</w:t>
      </w:r>
      <w:r>
        <w:t xml:space="preserve">.  The Study Area is located entirely within the State Nature and Historic Preserve area, the Long Island State Pine Barrens Compatible Growth Area, and adjacent to the Holy Sepulchre Cemetery.  Visual Simulation – </w:t>
      </w:r>
      <w:r>
        <w:rPr>
          <w:b/>
        </w:rPr>
        <w:t>Appendix B</w:t>
      </w:r>
      <w:r>
        <w:t xml:space="preserve"> provides three photographs of the existing and proposed conditions from three locations along NYS-112 (Location 1 through Location 3, Existing and Proposed).  Location 1 and Location 2 are on the east side of NYS-112 and facing north, approximately 140 feet and 420 feet north of Granny Road, respectively.  Location 3 is on the west side of NYS-112 and facing south, approximately 930 feet north of Granny Road.  </w:t>
      </w:r>
    </w:p>
    <w:p w14:paraId="1E712AC0" w14:textId="651793D9" w:rsidR="001952AE" w:rsidRDefault="00001555">
      <w:pPr>
        <w:pStyle w:val="ListParagraph"/>
        <w:autoSpaceDE w:val="0"/>
        <w:spacing w:after="200" w:line="276" w:lineRule="auto"/>
        <w:ind w:left="0"/>
        <w:rPr>
          <w:szCs w:val="22"/>
        </w:rPr>
      </w:pPr>
      <w:r>
        <w:rPr>
          <w:szCs w:val="22"/>
        </w:rPr>
        <w:t xml:space="preserve">The Study Area is defined as a one-mile radius surrounding the OH transmission/distribution pole relocations from the east to the west side of NYS-112 between Granny Road and Old Port Jefferson Road (refer to </w:t>
      </w:r>
      <w:r w:rsidR="006C42FF">
        <w:rPr>
          <w:szCs w:val="22"/>
        </w:rPr>
        <w:t xml:space="preserve">Figure A-1: </w:t>
      </w:r>
      <w:r>
        <w:rPr>
          <w:szCs w:val="22"/>
        </w:rPr>
        <w:t xml:space="preserve">Visual Resources Map – </w:t>
      </w:r>
      <w:r w:rsidR="006C42FF">
        <w:rPr>
          <w:b/>
          <w:szCs w:val="22"/>
        </w:rPr>
        <w:t>Appendix A</w:t>
      </w:r>
      <w:r>
        <w:rPr>
          <w:szCs w:val="22"/>
        </w:rPr>
        <w:t>).  The Study Area land uses are predominantly Recreation and Open Space uses and Commercial.  The Study Area pole relocations will be seen from the immediate land uses along the west and east sides of NYS-112, including the Holy Sepulchre Cemetery on the west side of NYS-112 and the Country Fair Entertainment Park (“Park”) to the south and on the east side of NYS-112, as well as commercial, vacant, transportation (NYSDOT property) uses</w:t>
      </w:r>
      <w:r w:rsidR="006C42FF">
        <w:rPr>
          <w:szCs w:val="22"/>
        </w:rPr>
        <w:t xml:space="preserve"> on the east side of NYS-112</w:t>
      </w:r>
      <w:r>
        <w:rPr>
          <w:szCs w:val="22"/>
        </w:rPr>
        <w:t xml:space="preserve">.  </w:t>
      </w:r>
      <w:r w:rsidR="006C42FF">
        <w:rPr>
          <w:szCs w:val="22"/>
        </w:rPr>
        <w:t xml:space="preserve">Impacts to the uses on the east side are anticipated to be negligible as these uses are not considered sensitive visual receptors.  </w:t>
      </w:r>
      <w:r>
        <w:rPr>
          <w:szCs w:val="22"/>
        </w:rPr>
        <w:t>Visual impacts to the cemetery property will not be significant due to the existing line of trees that will shield the poles from view, except for the top sections of the poles.  Similarly, the visual impacts to the Country Fair Entertainment Park will be minimal due to the distance between the Study Area poles and the Park.  There are no buildings or structures listed in the State or National Register of Historic Places or over 50 years old within the footprint or within 1 mile of the Propose Action area.  The Proposed Action will not significantly impair the visual landscape as experienced from other scenic or aesthetic resources of concern or interfere with or reduce the public’s, or area residents’, enjoyment and/or appreciation of the appearance of inventoried scenic, open space, or other resource.</w:t>
      </w:r>
    </w:p>
    <w:p w14:paraId="1E712AC1" w14:textId="2222D46D" w:rsidR="001952AE" w:rsidRDefault="00001555">
      <w:pPr>
        <w:pStyle w:val="ListParagraph"/>
        <w:autoSpaceDE w:val="0"/>
        <w:spacing w:after="200" w:line="276" w:lineRule="auto"/>
        <w:ind w:left="0"/>
      </w:pPr>
      <w:r>
        <w:t xml:space="preserve">In the Study Area, the </w:t>
      </w:r>
      <w:r w:rsidR="004304B0">
        <w:t>relocated transmission line will be placed over the existing distribution lines on new poles that will be approximately 10 to 30 feet taller than the poles they will be replacing, but only approximately 10 to 15 feet taller than the poles from which the line is removed.</w:t>
      </w:r>
      <w:r>
        <w:t xml:space="preserve">  As a result of the Proposed Action, for this 0.12-mile section of NYS-112, the relocated transmission line on the west side will be approximately </w:t>
      </w:r>
      <w:r w:rsidR="00195FF7">
        <w:t>10 to 15</w:t>
      </w:r>
      <w:r>
        <w:t xml:space="preserve"> feet taller at points than is the existing transmission line</w:t>
      </w:r>
      <w:r w:rsidR="00195FF7">
        <w:t xml:space="preserve"> on the east side</w:t>
      </w:r>
      <w:r>
        <w:t>.  However, this impact will not be significant because the adjacent land uses are warehouse-type facilities and a cemetery.  The existing transmission line cannot be seen from local resource locations (see Figure A-1</w:t>
      </w:r>
      <w:r w:rsidR="006C42FF">
        <w:t>:</w:t>
      </w:r>
      <w:r>
        <w:t xml:space="preserve"> Visual Resources Map – </w:t>
      </w:r>
      <w:r>
        <w:rPr>
          <w:b/>
        </w:rPr>
        <w:t>Appendix A</w:t>
      </w:r>
      <w:r>
        <w:t xml:space="preserve">).  It is unlikely that the taller poles will be visible from the locations because of the intervening wooded landscape (refer to Pre-Construction Photo Log – </w:t>
      </w:r>
      <w:r>
        <w:rPr>
          <w:b/>
        </w:rPr>
        <w:t>Appendix A</w:t>
      </w:r>
      <w:r>
        <w:t xml:space="preserve">).  At most, only the top sections of the poles might be partially visible from a few of the locations.  Given </w:t>
      </w:r>
      <w:r>
        <w:lastRenderedPageBreak/>
        <w:t>the distance between these locations and the proposed transmission line, such a limited visibility change would not be significant.  There will not be a significant adverse impact on designated visual resources or the character of the area.  The replacement and relocation of 83 distribution poles</w:t>
      </w:r>
      <w:r w:rsidR="004304B0">
        <w:t>, the installation of four new distribution poles,</w:t>
      </w:r>
      <w:r>
        <w:t xml:space="preserve"> and the proposed UG work outside of the Study Area do not involve a height increase of more than 10 feet and thus do not have the potential for a significant adverse visual impact.  Only minor tree trimming will be required for utility pole clearances, and it is not anticipated to significantly impact the visual landscape of the area.  The Proposed Action modifications will be visible from several vantage points within the Pine Barrens and within the Cemetery, as well as from the Country Fair Entertainment Park (“the Park”), which is located approximately 0.23 mile south of the center of the Study Area on the east side of NYS-112 (refer to Photos 1 through 11 in Pre-Construction Photo Log – </w:t>
      </w:r>
      <w:r>
        <w:rPr>
          <w:b/>
        </w:rPr>
        <w:t>Appendix A</w:t>
      </w:r>
      <w:r>
        <w:t xml:space="preserve">). Existing pole heights adjacent to the cemetery will increase.  Visual impacts to the cemetery property are anticipated to be minimal, as the majority of the existing vegetated buffer, which includes mature trees between the cemetery and the roadway, will remain (refer to Photos 6 and 7).  As illustrated in the photosimulation provided at Location 1, the increased height of the line of poles on the west side of the road in the location of the existing cemetery does not significantly impact the view or character of the neighborhood.  Only a small portion of the poles is visible above the existing tree line.  The trees will continue to provide screening of the roadway and the poles, and the visibility of the taller poles is anticipated to be minor.  </w:t>
      </w:r>
    </w:p>
    <w:p w14:paraId="1E712AC2" w14:textId="2D7EA2D6" w:rsidR="001952AE" w:rsidRDefault="00001555">
      <w:pPr>
        <w:pStyle w:val="ListParagraph"/>
        <w:autoSpaceDE w:val="0"/>
        <w:spacing w:after="200" w:line="276" w:lineRule="auto"/>
        <w:ind w:left="0"/>
      </w:pPr>
      <w:r>
        <w:t xml:space="preserve">The pole relocations will also be visible from the Country Fair Entertainment Park, but the Proposed Action is not anticipated to significantly impact the viewshed from this location due to the distance between the Park and the Study Area (refer to Photo 2 in the Pre-Construction Photo Log: Photo 2 – </w:t>
      </w:r>
      <w:r>
        <w:rPr>
          <w:b/>
        </w:rPr>
        <w:t>Appendix A</w:t>
      </w:r>
      <w:r>
        <w:t xml:space="preserve">).  </w:t>
      </w:r>
    </w:p>
    <w:p w14:paraId="1E712AC3" w14:textId="04FE19E3" w:rsidR="001952AE" w:rsidRDefault="00001555">
      <w:pPr>
        <w:pStyle w:val="ListParagraph"/>
        <w:autoSpaceDE w:val="0"/>
        <w:spacing w:after="200" w:line="276" w:lineRule="auto"/>
        <w:ind w:left="0"/>
      </w:pPr>
      <w:r>
        <w:t xml:space="preserve">Overall, the existing trees on the west side of this road will continue to help decrease the visual impact of the taller poles.  The NYSDOT tree plantings on the west side of the road and south of Granny Road will help decrease the visual impact from vantage points south of the proposed pole relocations.  As illustrated in the photosimulation provided for Location 2, the line of poles on the west side continues and there is a visual change due to increased pole heights, but, the impact is not significant.  Also, there are three existing poles near the northwest corner of Granny Road and NYS-112 which range in heights from 61 to 70 feet above ground level (agl), after embedment.  These poles are similar in height to the three proposed pole relocations from the east side to the west side of the road, which will be 65.5 feet tall agl.  The photosimulation provided at Location 3 looks south on that same line of poles.  There is a visual change in the viewshed due to the increased pole heights, but the change is not significant.      </w:t>
      </w:r>
    </w:p>
    <w:p w14:paraId="1E712AC4" w14:textId="77777777" w:rsidR="001952AE" w:rsidRDefault="00001555">
      <w:pPr>
        <w:pStyle w:val="ListParagraph"/>
        <w:autoSpaceDE w:val="0"/>
        <w:spacing w:after="200" w:line="276" w:lineRule="auto"/>
        <w:ind w:left="0"/>
      </w:pPr>
      <w:r>
        <w:t xml:space="preserve">Overall, the relocation of transmission poles from the east side of NYS-112 to the west side of the roadway will result in a change in the viewsheds from various points along NYS-112 in that the poles on the west side will be taller.  However, there will be fewer poles along the east side of the roadway.  The work entails relocation and replacement of OH electrical utility poles in which the quantity of poles will decrease by 1 pole, and thus the change in footprint of the Proposed Action will be insignificant.  Given that most pole height increases are less than 10 feet, and the existing poles near the northwest corner of Granny Road and </w:t>
      </w:r>
      <w:r>
        <w:lastRenderedPageBreak/>
        <w:t>NYS-112 range in height from 47.5 to 70 feet above ground level after embedment, significant adverse impacts on the viewsheds within the Study Area are not anticipated.</w:t>
      </w:r>
    </w:p>
    <w:sectPr w:rsidR="001952AE">
      <w:type w:val="continuous"/>
      <w:pgSz w:w="12240" w:h="15840"/>
      <w:pgMar w:top="1800" w:right="1530" w:bottom="1440" w:left="117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2FBDA" w14:textId="77777777" w:rsidR="005D2CB1" w:rsidRDefault="005D2CB1">
      <w:pPr>
        <w:spacing w:after="0"/>
      </w:pPr>
      <w:r>
        <w:separator/>
      </w:r>
    </w:p>
  </w:endnote>
  <w:endnote w:type="continuationSeparator" w:id="0">
    <w:p w14:paraId="67EDC6EC" w14:textId="77777777" w:rsidR="005D2CB1" w:rsidRDefault="005D2CB1">
      <w:pPr>
        <w:spacing w:after="0"/>
      </w:pPr>
      <w:r>
        <w:continuationSeparator/>
      </w:r>
    </w:p>
  </w:endnote>
  <w:endnote w:type="continuationNotice" w:id="1">
    <w:p w14:paraId="0492345A" w14:textId="77777777" w:rsidR="005D2CB1" w:rsidRDefault="005D2C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roman"/>
    <w:pitch w:val="default"/>
  </w:font>
  <w:font w:name="TimesNewRomanPS-BoldMT">
    <w:altName w:val="Times New Roman"/>
    <w:charset w:val="00"/>
    <w:family w:val="roman"/>
    <w:pitch w:val="default"/>
  </w:font>
  <w:font w:name="TimesNewRomanPS-ItalicMT">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2A1F" w14:textId="77777777" w:rsidR="006B3A6C" w:rsidRDefault="00001555">
    <w:pPr>
      <w:pStyle w:val="Footer"/>
      <w:tabs>
        <w:tab w:val="clear" w:pos="8640"/>
        <w:tab w:val="right" w:pos="8532"/>
      </w:tabs>
    </w:pPr>
    <w:r>
      <w:rPr>
        <w:i/>
        <w:iCs/>
      </w:rPr>
      <w:tab/>
    </w:r>
    <w:r>
      <w:rPr>
        <w:i/>
        <w:iCs/>
      </w:rPr>
      <w:fldChar w:fldCharType="begin"/>
    </w:r>
    <w:r>
      <w:rPr>
        <w:i/>
        <w:iCs/>
      </w:rPr>
      <w:instrText xml:space="preserve"> PAGE </w:instrText>
    </w:r>
    <w:r>
      <w:rPr>
        <w:i/>
        <w:iCs/>
      </w:rPr>
      <w:fldChar w:fldCharType="separate"/>
    </w:r>
    <w:r w:rsidR="0088484E">
      <w:rPr>
        <w:i/>
        <w:iCs/>
        <w:noProof/>
      </w:rPr>
      <w:t>8</w:t>
    </w:r>
    <w:r>
      <w:rPr>
        <w:i/>
        <w:iCs/>
      </w:rPr>
      <w:fldChar w:fldCharType="end"/>
    </w:r>
    <w:r>
      <w:rPr>
        <w:i/>
        <w:iCs/>
      </w:rPr>
      <w:t xml:space="preserve"> </w:t>
    </w:r>
    <w:r>
      <w:rPr>
        <w:i/>
        <w:iCs/>
      </w:rPr>
      <w:tab/>
    </w:r>
  </w:p>
  <w:p w14:paraId="1E712A20" w14:textId="77777777" w:rsidR="006B3A6C" w:rsidRDefault="008848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2A22" w14:textId="77777777" w:rsidR="006B3A6C" w:rsidRDefault="00001555">
    <w:pPr>
      <w:pStyle w:val="Footer"/>
    </w:pPr>
    <w:r>
      <w:rPr>
        <w:i/>
        <w:iCs/>
      </w:rPr>
      <w:tab/>
    </w:r>
    <w:r>
      <w:rPr>
        <w:i/>
        <w:iCs/>
      </w:rPr>
      <w:fldChar w:fldCharType="begin"/>
    </w:r>
    <w:r>
      <w:rPr>
        <w:i/>
        <w:iCs/>
      </w:rPr>
      <w:instrText xml:space="preserve"> PAGE </w:instrText>
    </w:r>
    <w:r>
      <w:rPr>
        <w:i/>
        <w:iCs/>
      </w:rPr>
      <w:fldChar w:fldCharType="separate"/>
    </w:r>
    <w:r w:rsidR="0088484E">
      <w:rPr>
        <w:i/>
        <w:iCs/>
        <w:noProof/>
      </w:rPr>
      <w:t>7</w:t>
    </w:r>
    <w:r>
      <w:rPr>
        <w:i/>
        <w:iCs/>
      </w:rPr>
      <w:fldChar w:fldCharType="end"/>
    </w:r>
    <w:r>
      <w:rPr>
        <w:i/>
        <w:iCs/>
      </w:rPr>
      <w:tab/>
    </w:r>
  </w:p>
  <w:p w14:paraId="1E712A23" w14:textId="77777777" w:rsidR="006B3A6C" w:rsidRDefault="0088484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2A25" w14:textId="77777777" w:rsidR="006B3A6C" w:rsidRDefault="00001555">
    <w:pPr>
      <w:pStyle w:val="Footer"/>
      <w:tabs>
        <w:tab w:val="clear" w:pos="8640"/>
        <w:tab w:val="right" w:pos="8550"/>
      </w:tabs>
    </w:pPr>
    <w:r>
      <w:rPr>
        <w:i/>
        <w:iCs/>
      </w:rPr>
      <w:tab/>
    </w:r>
    <w:r>
      <w:rPr>
        <w:i/>
        <w:iCs/>
      </w:rPr>
      <w:fldChar w:fldCharType="begin"/>
    </w:r>
    <w:r>
      <w:rPr>
        <w:i/>
        <w:iCs/>
      </w:rPr>
      <w:instrText xml:space="preserve"> PAGE </w:instrText>
    </w:r>
    <w:r>
      <w:rPr>
        <w:i/>
        <w:iCs/>
      </w:rPr>
      <w:fldChar w:fldCharType="separate"/>
    </w:r>
    <w:r w:rsidR="0088484E">
      <w:rPr>
        <w:i/>
        <w:iCs/>
        <w:noProof/>
      </w:rPr>
      <w:t>1</w:t>
    </w:r>
    <w:r>
      <w:rPr>
        <w:i/>
        <w:iCs/>
      </w:rPr>
      <w:fldChar w:fldCharType="end"/>
    </w:r>
    <w:r>
      <w:rPr>
        <w:i/>
        <w:iCs/>
      </w:rPr>
      <w:tab/>
    </w:r>
  </w:p>
  <w:p w14:paraId="1E712A26" w14:textId="77777777" w:rsidR="006B3A6C" w:rsidRDefault="008848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E7231" w14:textId="77777777" w:rsidR="005D2CB1" w:rsidRDefault="005D2CB1">
      <w:pPr>
        <w:spacing w:after="0"/>
      </w:pPr>
      <w:r>
        <w:rPr>
          <w:color w:val="000000"/>
        </w:rPr>
        <w:separator/>
      </w:r>
    </w:p>
  </w:footnote>
  <w:footnote w:type="continuationSeparator" w:id="0">
    <w:p w14:paraId="7B16319B" w14:textId="77777777" w:rsidR="005D2CB1" w:rsidRDefault="005D2CB1">
      <w:pPr>
        <w:spacing w:after="0"/>
      </w:pPr>
      <w:r>
        <w:continuationSeparator/>
      </w:r>
    </w:p>
  </w:footnote>
  <w:footnote w:type="continuationNotice" w:id="1">
    <w:p w14:paraId="69E447EC" w14:textId="77777777" w:rsidR="005D2CB1" w:rsidRDefault="005D2CB1">
      <w:pPr>
        <w:spacing w:after="0"/>
      </w:pPr>
    </w:p>
  </w:footnote>
  <w:footnote w:id="2">
    <w:p w14:paraId="1E712A11" w14:textId="77777777" w:rsidR="001952AE" w:rsidRDefault="00001555">
      <w:pPr>
        <w:pStyle w:val="FootnoteText"/>
      </w:pPr>
      <w:r>
        <w:rPr>
          <w:rStyle w:val="FootnoteReference"/>
        </w:rPr>
        <w:footnoteRef/>
      </w:r>
      <w:r>
        <w:t xml:space="preserve"> NYSDEC. DEP-00-2 Assessing and Mitigating Visual Impacts. Issued July 31, 2000. </w:t>
      </w:r>
      <w:hyperlink r:id="rId1" w:history="1">
        <w:r>
          <w:rPr>
            <w:rStyle w:val="Hyperlink"/>
          </w:rPr>
          <w:t>http://dec.ny.gov/permits_ej_operations_pdf/visual2000.pdf</w:t>
        </w:r>
      </w:hyperlink>
      <w:r>
        <w:t>. Accessed January 3, 2019.</w:t>
      </w:r>
    </w:p>
  </w:footnote>
  <w:footnote w:id="3">
    <w:p w14:paraId="1E712A12" w14:textId="77777777" w:rsidR="001952AE" w:rsidRDefault="00001555">
      <w:pPr>
        <w:pStyle w:val="FootnoteText"/>
      </w:pPr>
      <w:r>
        <w:rPr>
          <w:rStyle w:val="FootnoteReference"/>
        </w:rPr>
        <w:footnoteRef/>
      </w:r>
      <w:r>
        <w:t xml:space="preserve"> </w:t>
      </w:r>
      <w:hyperlink r:id="rId2" w:history="1">
        <w:r>
          <w:rPr>
            <w:rStyle w:val="Hyperlink"/>
          </w:rPr>
          <w:t>https://cris.parks.ny.gov/</w:t>
        </w:r>
      </w:hyperlink>
      <w:r>
        <w:t>. Accessed January 4,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2A19" w14:textId="77777777" w:rsidR="006B3A6C" w:rsidRDefault="00001555">
    <w:pPr>
      <w:pStyle w:val="Header"/>
      <w:pBdr>
        <w:bottom w:val="single" w:sz="12" w:space="1" w:color="000000"/>
      </w:pBdr>
      <w:spacing w:after="380"/>
      <w:rPr>
        <w:b/>
        <w:sz w:val="20"/>
      </w:rPr>
    </w:pPr>
    <w:r>
      <w:rPr>
        <w:b/>
        <w:sz w:val="20"/>
      </w:rPr>
      <w:t>PSEG-LI Overhead and Underground Utility Relocation for the NYS-112 Road Widening Project</w:t>
    </w:r>
  </w:p>
  <w:p w14:paraId="1E712A1A" w14:textId="77777777" w:rsidR="006B3A6C" w:rsidRDefault="008848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2A1C" w14:textId="77777777" w:rsidR="006B3A6C" w:rsidRDefault="00001555">
    <w:pPr>
      <w:pStyle w:val="Header"/>
      <w:pBdr>
        <w:bottom w:val="single" w:sz="12" w:space="1" w:color="000000"/>
      </w:pBdr>
      <w:spacing w:after="380"/>
      <w:jc w:val="right"/>
      <w:rPr>
        <w:b/>
        <w:sz w:val="20"/>
      </w:rPr>
    </w:pPr>
    <w:r>
      <w:rPr>
        <w:b/>
        <w:sz w:val="20"/>
      </w:rPr>
      <w:t>Attachment B: Visual Resources</w:t>
    </w:r>
  </w:p>
  <w:p w14:paraId="1E712A1D" w14:textId="77777777" w:rsidR="006B3A6C" w:rsidRDefault="008848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0FF2"/>
    <w:multiLevelType w:val="multilevel"/>
    <w:tmpl w:val="B5089464"/>
    <w:styleLink w:val="WWOutlineListStyle1"/>
    <w:lvl w:ilvl="0">
      <w:start w:val="2"/>
      <w:numFmt w:val="upperLetter"/>
      <w:lvlText w:val="Attachment %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1D6327EF"/>
    <w:multiLevelType w:val="multilevel"/>
    <w:tmpl w:val="871CD54A"/>
    <w:styleLink w:val="WWOutlineListStyle"/>
    <w:lvl w:ilvl="0">
      <w:start w:val="2"/>
      <w:numFmt w:val="upperLetter"/>
      <w:lvlText w:val="Attachment %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248C5583"/>
    <w:multiLevelType w:val="multilevel"/>
    <w:tmpl w:val="B1B4C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4F7B81"/>
    <w:multiLevelType w:val="multilevel"/>
    <w:tmpl w:val="96A85242"/>
    <w:styleLink w:val="WWOutlineListStyle2"/>
    <w:lvl w:ilvl="0">
      <w:start w:val="2"/>
      <w:numFmt w:val="upperLetter"/>
      <w:lvlText w:val="Attachment %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3A394D9C"/>
    <w:multiLevelType w:val="multilevel"/>
    <w:tmpl w:val="3EF6E3FA"/>
    <w:styleLink w:val="LFO5"/>
    <w:lvl w:ilvl="0">
      <w:start w:val="1"/>
      <w:numFmt w:val="none"/>
      <w:pStyle w:val="Response"/>
      <w:lvlText w:val="Response:%1"/>
      <w:lvlJc w:val="left"/>
      <w:pPr>
        <w:ind w:left="1440" w:hanging="1440"/>
      </w:pPr>
      <w:rPr>
        <w:rFonts w:ascii="Times New Roman" w:hAnsi="Times New Roman"/>
        <w:b/>
        <w:i w:val="0"/>
        <w:strike w:val="0"/>
        <w:dstrike w:val="0"/>
        <w:vanish w:val="0"/>
        <w:color w:val="000000"/>
        <w:sz w:val="22"/>
      </w:rPr>
    </w:lvl>
    <w:lvl w:ilvl="1">
      <w:start w:val="1"/>
      <w:numFmt w:val="decimalZero"/>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447A3503"/>
    <w:multiLevelType w:val="multilevel"/>
    <w:tmpl w:val="CAFCE242"/>
    <w:styleLink w:val="LFO6"/>
    <w:lvl w:ilvl="0">
      <w:numFmt w:val="bullet"/>
      <w:pStyle w:val="Bullet"/>
      <w:lvlText w:val=""/>
      <w:lvlJc w:val="left"/>
      <w:pPr>
        <w:ind w:left="720" w:hanging="360"/>
      </w:pPr>
      <w:rPr>
        <w:rFonts w:ascii="Symbol" w:hAnsi="Symbol"/>
      </w:rPr>
    </w:lvl>
    <w:lvl w:ilvl="1">
      <w:numFmt w:val="bullet"/>
      <w:lvlText w:val=""/>
      <w:lvlJc w:val="left"/>
      <w:pPr>
        <w:ind w:left="1440" w:hanging="360"/>
      </w:pPr>
      <w:rPr>
        <w:rFonts w:ascii="Symbol" w:hAnsi="Symbol"/>
        <w:sz w:val="24"/>
        <w:szCs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5DE72C4E"/>
    <w:multiLevelType w:val="multilevel"/>
    <w:tmpl w:val="C95667DA"/>
    <w:styleLink w:val="LFO4"/>
    <w:lvl w:ilvl="0">
      <w:start w:val="1"/>
      <w:numFmt w:val="decimal"/>
      <w:pStyle w:val="numberList"/>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4094D41"/>
    <w:multiLevelType w:val="multilevel"/>
    <w:tmpl w:val="D71CFEDA"/>
    <w:styleLink w:val="LFO2"/>
    <w:lvl w:ilvl="0">
      <w:start w:val="1"/>
      <w:numFmt w:val="decimal"/>
      <w:pStyle w:val="Comment"/>
      <w:lvlText w:val="Comment %1:"/>
      <w:lvlJc w:val="left"/>
      <w:pPr>
        <w:ind w:left="1440" w:hanging="1440"/>
      </w:pPr>
      <w:rPr>
        <w:rFonts w:ascii="Times New Roman" w:hAnsi="Times New Roman"/>
        <w:b/>
        <w:i w:val="0"/>
        <w:strike w:val="0"/>
        <w:dstrike w:val="0"/>
        <w:vanish w:val="0"/>
        <w:position w:val="0"/>
        <w:sz w:val="22"/>
        <w:vertAlign w:val="baseline"/>
      </w:rPr>
    </w:lvl>
    <w:lvl w:ilvl="1">
      <w:start w:val="1"/>
      <w:numFmt w:val="decimalZero"/>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nsid w:val="76667F68"/>
    <w:multiLevelType w:val="multilevel"/>
    <w:tmpl w:val="150478E4"/>
    <w:styleLink w:val="WWOutlineListStyle3"/>
    <w:lvl w:ilvl="0">
      <w:start w:val="2"/>
      <w:numFmt w:val="upperLetter"/>
      <w:pStyle w:val="Heading1"/>
      <w:lvlText w:val="Attachment %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77891020"/>
    <w:multiLevelType w:val="multilevel"/>
    <w:tmpl w:val="7D4673C6"/>
    <w:styleLink w:val="LFO1"/>
    <w:lvl w:ilvl="0">
      <w:start w:val="1"/>
      <w:numFmt w:val="upperLetter"/>
      <w:pStyle w:val="Bullet2"/>
      <w:lvlText w:val="%1."/>
      <w:lvlJc w:val="left"/>
      <w:pPr>
        <w:ind w:left="1260" w:hanging="360"/>
      </w:pPr>
    </w:lvl>
    <w:lvl w:ilvl="1">
      <w:numFmt w:val="bullet"/>
      <w:lvlText w:val="­"/>
      <w:lvlJc w:val="left"/>
      <w:pPr>
        <w:ind w:left="720" w:hanging="360"/>
      </w:pPr>
      <w:rPr>
        <w:rFonts w:ascii="Courier New" w:hAnsi="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0"/>
  </w:num>
  <w:num w:numId="4">
    <w:abstractNumId w:val="1"/>
  </w:num>
  <w:num w:numId="5">
    <w:abstractNumId w:val="9"/>
  </w:num>
  <w:num w:numId="6">
    <w:abstractNumId w:val="7"/>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autoHyphenation/>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1952AE"/>
    <w:rsid w:val="00001555"/>
    <w:rsid w:val="00004F68"/>
    <w:rsid w:val="0003541E"/>
    <w:rsid w:val="00040486"/>
    <w:rsid w:val="00040E88"/>
    <w:rsid w:val="00041C98"/>
    <w:rsid w:val="00042374"/>
    <w:rsid w:val="00044684"/>
    <w:rsid w:val="00046F73"/>
    <w:rsid w:val="000474C3"/>
    <w:rsid w:val="00051189"/>
    <w:rsid w:val="00051E7E"/>
    <w:rsid w:val="00052422"/>
    <w:rsid w:val="00052B86"/>
    <w:rsid w:val="0005585B"/>
    <w:rsid w:val="00057B33"/>
    <w:rsid w:val="00060B45"/>
    <w:rsid w:val="00062A17"/>
    <w:rsid w:val="00063F97"/>
    <w:rsid w:val="00067803"/>
    <w:rsid w:val="00067EAC"/>
    <w:rsid w:val="000723C8"/>
    <w:rsid w:val="0007422C"/>
    <w:rsid w:val="0007461B"/>
    <w:rsid w:val="00074716"/>
    <w:rsid w:val="00080B61"/>
    <w:rsid w:val="000827CB"/>
    <w:rsid w:val="00082A0C"/>
    <w:rsid w:val="000844E1"/>
    <w:rsid w:val="00085217"/>
    <w:rsid w:val="00085452"/>
    <w:rsid w:val="00086423"/>
    <w:rsid w:val="00091550"/>
    <w:rsid w:val="00092F80"/>
    <w:rsid w:val="00093CD9"/>
    <w:rsid w:val="00095652"/>
    <w:rsid w:val="00096EE1"/>
    <w:rsid w:val="000A1802"/>
    <w:rsid w:val="000A2F6F"/>
    <w:rsid w:val="000A6912"/>
    <w:rsid w:val="000A75E6"/>
    <w:rsid w:val="000B0EC0"/>
    <w:rsid w:val="000B2689"/>
    <w:rsid w:val="000B5492"/>
    <w:rsid w:val="000B7669"/>
    <w:rsid w:val="000C0052"/>
    <w:rsid w:val="000C0203"/>
    <w:rsid w:val="000C2828"/>
    <w:rsid w:val="000C2E77"/>
    <w:rsid w:val="000C5C6E"/>
    <w:rsid w:val="000C723B"/>
    <w:rsid w:val="000D2344"/>
    <w:rsid w:val="000E1AC7"/>
    <w:rsid w:val="000E1F8F"/>
    <w:rsid w:val="000E2B53"/>
    <w:rsid w:val="000E41CC"/>
    <w:rsid w:val="000E549E"/>
    <w:rsid w:val="000E57BD"/>
    <w:rsid w:val="000E5886"/>
    <w:rsid w:val="000E5DAF"/>
    <w:rsid w:val="000E6336"/>
    <w:rsid w:val="000E7AFA"/>
    <w:rsid w:val="000F343E"/>
    <w:rsid w:val="000F4CE8"/>
    <w:rsid w:val="000F5EB9"/>
    <w:rsid w:val="000F69D3"/>
    <w:rsid w:val="000F7271"/>
    <w:rsid w:val="000F7DD7"/>
    <w:rsid w:val="000F7DE2"/>
    <w:rsid w:val="001020D3"/>
    <w:rsid w:val="001074D3"/>
    <w:rsid w:val="00110963"/>
    <w:rsid w:val="00112534"/>
    <w:rsid w:val="0011691D"/>
    <w:rsid w:val="00117180"/>
    <w:rsid w:val="00121F7B"/>
    <w:rsid w:val="00124C9D"/>
    <w:rsid w:val="0012528E"/>
    <w:rsid w:val="00125291"/>
    <w:rsid w:val="00126C49"/>
    <w:rsid w:val="00127719"/>
    <w:rsid w:val="00130612"/>
    <w:rsid w:val="0013233F"/>
    <w:rsid w:val="00132DFF"/>
    <w:rsid w:val="00133407"/>
    <w:rsid w:val="00133B2D"/>
    <w:rsid w:val="00136722"/>
    <w:rsid w:val="00140826"/>
    <w:rsid w:val="00141802"/>
    <w:rsid w:val="0014436B"/>
    <w:rsid w:val="001450F5"/>
    <w:rsid w:val="00145B87"/>
    <w:rsid w:val="00146E0E"/>
    <w:rsid w:val="001473C9"/>
    <w:rsid w:val="00154A73"/>
    <w:rsid w:val="00155B26"/>
    <w:rsid w:val="0015655F"/>
    <w:rsid w:val="0016035C"/>
    <w:rsid w:val="00161082"/>
    <w:rsid w:val="001619E6"/>
    <w:rsid w:val="0016606C"/>
    <w:rsid w:val="00167512"/>
    <w:rsid w:val="00172A1A"/>
    <w:rsid w:val="00175D5E"/>
    <w:rsid w:val="0018040E"/>
    <w:rsid w:val="0018222C"/>
    <w:rsid w:val="00182CD5"/>
    <w:rsid w:val="00182E01"/>
    <w:rsid w:val="00182E47"/>
    <w:rsid w:val="00183DEB"/>
    <w:rsid w:val="0018734F"/>
    <w:rsid w:val="001952AE"/>
    <w:rsid w:val="00195FF7"/>
    <w:rsid w:val="00196C07"/>
    <w:rsid w:val="00196FB1"/>
    <w:rsid w:val="00197A42"/>
    <w:rsid w:val="001A010E"/>
    <w:rsid w:val="001A3D54"/>
    <w:rsid w:val="001B0A57"/>
    <w:rsid w:val="001B1960"/>
    <w:rsid w:val="001B22B5"/>
    <w:rsid w:val="001B279A"/>
    <w:rsid w:val="001C17B8"/>
    <w:rsid w:val="001C5310"/>
    <w:rsid w:val="001C5311"/>
    <w:rsid w:val="001C5593"/>
    <w:rsid w:val="001C7382"/>
    <w:rsid w:val="001C7508"/>
    <w:rsid w:val="001D1D53"/>
    <w:rsid w:val="001D1FDB"/>
    <w:rsid w:val="001D245C"/>
    <w:rsid w:val="001D3A08"/>
    <w:rsid w:val="001D47B2"/>
    <w:rsid w:val="001D5390"/>
    <w:rsid w:val="001E0314"/>
    <w:rsid w:val="001E4A6C"/>
    <w:rsid w:val="001E6339"/>
    <w:rsid w:val="00200D87"/>
    <w:rsid w:val="00201EEE"/>
    <w:rsid w:val="0020492A"/>
    <w:rsid w:val="00206F13"/>
    <w:rsid w:val="00211353"/>
    <w:rsid w:val="0021303C"/>
    <w:rsid w:val="002142EC"/>
    <w:rsid w:val="00215BF8"/>
    <w:rsid w:val="00235E28"/>
    <w:rsid w:val="002460DD"/>
    <w:rsid w:val="00246AE2"/>
    <w:rsid w:val="002474E3"/>
    <w:rsid w:val="00247A68"/>
    <w:rsid w:val="00247E5B"/>
    <w:rsid w:val="00250948"/>
    <w:rsid w:val="00251ED2"/>
    <w:rsid w:val="00252350"/>
    <w:rsid w:val="002524F8"/>
    <w:rsid w:val="00252DC7"/>
    <w:rsid w:val="002536E5"/>
    <w:rsid w:val="002553E7"/>
    <w:rsid w:val="00256128"/>
    <w:rsid w:val="00262E39"/>
    <w:rsid w:val="002635D5"/>
    <w:rsid w:val="00263B75"/>
    <w:rsid w:val="00263F62"/>
    <w:rsid w:val="0026457E"/>
    <w:rsid w:val="002659E9"/>
    <w:rsid w:val="00267C17"/>
    <w:rsid w:val="00270905"/>
    <w:rsid w:val="002719AE"/>
    <w:rsid w:val="0027366F"/>
    <w:rsid w:val="00276408"/>
    <w:rsid w:val="00277EAB"/>
    <w:rsid w:val="00281AA9"/>
    <w:rsid w:val="0028250C"/>
    <w:rsid w:val="0028556A"/>
    <w:rsid w:val="00287D3B"/>
    <w:rsid w:val="00292DBD"/>
    <w:rsid w:val="00294644"/>
    <w:rsid w:val="00296A3A"/>
    <w:rsid w:val="002A1442"/>
    <w:rsid w:val="002A2D96"/>
    <w:rsid w:val="002A6D6B"/>
    <w:rsid w:val="002B082D"/>
    <w:rsid w:val="002B268D"/>
    <w:rsid w:val="002B3262"/>
    <w:rsid w:val="002B4607"/>
    <w:rsid w:val="002B547C"/>
    <w:rsid w:val="002B55BC"/>
    <w:rsid w:val="002B5BCF"/>
    <w:rsid w:val="002B673E"/>
    <w:rsid w:val="002B6E3F"/>
    <w:rsid w:val="002C1270"/>
    <w:rsid w:val="002C34D1"/>
    <w:rsid w:val="002C4083"/>
    <w:rsid w:val="002C53C1"/>
    <w:rsid w:val="002C5494"/>
    <w:rsid w:val="002D05DE"/>
    <w:rsid w:val="002D289D"/>
    <w:rsid w:val="002D4BFD"/>
    <w:rsid w:val="002D73D3"/>
    <w:rsid w:val="002E1253"/>
    <w:rsid w:val="002E1AF1"/>
    <w:rsid w:val="002E2463"/>
    <w:rsid w:val="002E5B03"/>
    <w:rsid w:val="002E5FE8"/>
    <w:rsid w:val="002E7138"/>
    <w:rsid w:val="002E78D9"/>
    <w:rsid w:val="002E7B16"/>
    <w:rsid w:val="002F0F65"/>
    <w:rsid w:val="002F1CE1"/>
    <w:rsid w:val="002F2B97"/>
    <w:rsid w:val="002F2EE7"/>
    <w:rsid w:val="002F4B48"/>
    <w:rsid w:val="002F79FB"/>
    <w:rsid w:val="002F7D93"/>
    <w:rsid w:val="0030105C"/>
    <w:rsid w:val="00301385"/>
    <w:rsid w:val="00301512"/>
    <w:rsid w:val="0030459C"/>
    <w:rsid w:val="0030591D"/>
    <w:rsid w:val="00305CB4"/>
    <w:rsid w:val="0030777C"/>
    <w:rsid w:val="0031205A"/>
    <w:rsid w:val="00312539"/>
    <w:rsid w:val="003127D6"/>
    <w:rsid w:val="00312EDD"/>
    <w:rsid w:val="003133EE"/>
    <w:rsid w:val="00314AFE"/>
    <w:rsid w:val="00322EAF"/>
    <w:rsid w:val="00324ABF"/>
    <w:rsid w:val="00324BCF"/>
    <w:rsid w:val="00325B43"/>
    <w:rsid w:val="00325F20"/>
    <w:rsid w:val="00327BBB"/>
    <w:rsid w:val="00332452"/>
    <w:rsid w:val="0034007B"/>
    <w:rsid w:val="00342FCE"/>
    <w:rsid w:val="00345AC1"/>
    <w:rsid w:val="0034672B"/>
    <w:rsid w:val="00346F83"/>
    <w:rsid w:val="00347699"/>
    <w:rsid w:val="00353802"/>
    <w:rsid w:val="00354772"/>
    <w:rsid w:val="003621DA"/>
    <w:rsid w:val="003633A3"/>
    <w:rsid w:val="00363DEC"/>
    <w:rsid w:val="003677FB"/>
    <w:rsid w:val="00370AC8"/>
    <w:rsid w:val="00370DBA"/>
    <w:rsid w:val="00372172"/>
    <w:rsid w:val="003742C2"/>
    <w:rsid w:val="0037499F"/>
    <w:rsid w:val="00376144"/>
    <w:rsid w:val="003768C1"/>
    <w:rsid w:val="00377A34"/>
    <w:rsid w:val="00380866"/>
    <w:rsid w:val="0038265D"/>
    <w:rsid w:val="00387349"/>
    <w:rsid w:val="003878CD"/>
    <w:rsid w:val="003915B6"/>
    <w:rsid w:val="00392365"/>
    <w:rsid w:val="0039387E"/>
    <w:rsid w:val="00393929"/>
    <w:rsid w:val="00394124"/>
    <w:rsid w:val="00395314"/>
    <w:rsid w:val="003972D3"/>
    <w:rsid w:val="00397372"/>
    <w:rsid w:val="00397755"/>
    <w:rsid w:val="003A20BD"/>
    <w:rsid w:val="003A5A6B"/>
    <w:rsid w:val="003B3BCB"/>
    <w:rsid w:val="003B46D9"/>
    <w:rsid w:val="003C1F67"/>
    <w:rsid w:val="003C5364"/>
    <w:rsid w:val="003C77F1"/>
    <w:rsid w:val="003D07F9"/>
    <w:rsid w:val="003D1DF2"/>
    <w:rsid w:val="003D2EA2"/>
    <w:rsid w:val="003D5794"/>
    <w:rsid w:val="003E07E0"/>
    <w:rsid w:val="003E194B"/>
    <w:rsid w:val="003E306A"/>
    <w:rsid w:val="003E7AB7"/>
    <w:rsid w:val="003F0EB6"/>
    <w:rsid w:val="003F11C6"/>
    <w:rsid w:val="003F3146"/>
    <w:rsid w:val="003F3262"/>
    <w:rsid w:val="003F390D"/>
    <w:rsid w:val="003F602A"/>
    <w:rsid w:val="004013C2"/>
    <w:rsid w:val="00404377"/>
    <w:rsid w:val="00405FFD"/>
    <w:rsid w:val="00406B15"/>
    <w:rsid w:val="00407B96"/>
    <w:rsid w:val="00407C9C"/>
    <w:rsid w:val="00411EB0"/>
    <w:rsid w:val="004128D9"/>
    <w:rsid w:val="0041395E"/>
    <w:rsid w:val="00414777"/>
    <w:rsid w:val="00416200"/>
    <w:rsid w:val="004245BB"/>
    <w:rsid w:val="00425696"/>
    <w:rsid w:val="0042594E"/>
    <w:rsid w:val="004300CC"/>
    <w:rsid w:val="004304B0"/>
    <w:rsid w:val="00430FDF"/>
    <w:rsid w:val="004315D9"/>
    <w:rsid w:val="00431998"/>
    <w:rsid w:val="00432192"/>
    <w:rsid w:val="00433AF2"/>
    <w:rsid w:val="00434932"/>
    <w:rsid w:val="00436A9F"/>
    <w:rsid w:val="00436D99"/>
    <w:rsid w:val="004417EF"/>
    <w:rsid w:val="0044226C"/>
    <w:rsid w:val="00447C02"/>
    <w:rsid w:val="004506B1"/>
    <w:rsid w:val="00450766"/>
    <w:rsid w:val="00451882"/>
    <w:rsid w:val="00451AB4"/>
    <w:rsid w:val="00451EC0"/>
    <w:rsid w:val="004523B2"/>
    <w:rsid w:val="004525FB"/>
    <w:rsid w:val="00452FB7"/>
    <w:rsid w:val="0045730C"/>
    <w:rsid w:val="0045798E"/>
    <w:rsid w:val="00460A6E"/>
    <w:rsid w:val="00462448"/>
    <w:rsid w:val="004709D2"/>
    <w:rsid w:val="004717B2"/>
    <w:rsid w:val="0047183E"/>
    <w:rsid w:val="0047293A"/>
    <w:rsid w:val="0047347A"/>
    <w:rsid w:val="004753DE"/>
    <w:rsid w:val="00481786"/>
    <w:rsid w:val="00481A0E"/>
    <w:rsid w:val="0048248F"/>
    <w:rsid w:val="00483F31"/>
    <w:rsid w:val="0048401E"/>
    <w:rsid w:val="0048416A"/>
    <w:rsid w:val="004857C9"/>
    <w:rsid w:val="004923BD"/>
    <w:rsid w:val="00493CF8"/>
    <w:rsid w:val="00497AF5"/>
    <w:rsid w:val="004A098F"/>
    <w:rsid w:val="004A14A8"/>
    <w:rsid w:val="004A2C8C"/>
    <w:rsid w:val="004A41A8"/>
    <w:rsid w:val="004A4798"/>
    <w:rsid w:val="004A5798"/>
    <w:rsid w:val="004A6534"/>
    <w:rsid w:val="004B0127"/>
    <w:rsid w:val="004B2E1C"/>
    <w:rsid w:val="004B440F"/>
    <w:rsid w:val="004B5121"/>
    <w:rsid w:val="004B5508"/>
    <w:rsid w:val="004B5525"/>
    <w:rsid w:val="004B5BD8"/>
    <w:rsid w:val="004B5E22"/>
    <w:rsid w:val="004B6A70"/>
    <w:rsid w:val="004B750B"/>
    <w:rsid w:val="004C427F"/>
    <w:rsid w:val="004C473A"/>
    <w:rsid w:val="004C6D10"/>
    <w:rsid w:val="004D0C44"/>
    <w:rsid w:val="004D257C"/>
    <w:rsid w:val="004D387B"/>
    <w:rsid w:val="004D6381"/>
    <w:rsid w:val="004D6F24"/>
    <w:rsid w:val="004E1455"/>
    <w:rsid w:val="004E3E16"/>
    <w:rsid w:val="004E588A"/>
    <w:rsid w:val="004E7C6C"/>
    <w:rsid w:val="004F09B7"/>
    <w:rsid w:val="004F1FEE"/>
    <w:rsid w:val="004F444D"/>
    <w:rsid w:val="004F5744"/>
    <w:rsid w:val="004F6253"/>
    <w:rsid w:val="004F64FE"/>
    <w:rsid w:val="00500261"/>
    <w:rsid w:val="005011D3"/>
    <w:rsid w:val="0050170C"/>
    <w:rsid w:val="00501CAA"/>
    <w:rsid w:val="00504FA2"/>
    <w:rsid w:val="00505C09"/>
    <w:rsid w:val="00507A40"/>
    <w:rsid w:val="00507B61"/>
    <w:rsid w:val="00512A18"/>
    <w:rsid w:val="00514DA1"/>
    <w:rsid w:val="00516DF7"/>
    <w:rsid w:val="005201BB"/>
    <w:rsid w:val="005201D2"/>
    <w:rsid w:val="005214CB"/>
    <w:rsid w:val="00522E09"/>
    <w:rsid w:val="005267D6"/>
    <w:rsid w:val="00526E39"/>
    <w:rsid w:val="005277DF"/>
    <w:rsid w:val="00527F84"/>
    <w:rsid w:val="005360D0"/>
    <w:rsid w:val="005377F8"/>
    <w:rsid w:val="00542E05"/>
    <w:rsid w:val="00542F1C"/>
    <w:rsid w:val="00543674"/>
    <w:rsid w:val="00544634"/>
    <w:rsid w:val="00550ECE"/>
    <w:rsid w:val="00551951"/>
    <w:rsid w:val="0055198C"/>
    <w:rsid w:val="005524B1"/>
    <w:rsid w:val="00553265"/>
    <w:rsid w:val="005532E1"/>
    <w:rsid w:val="00553FEA"/>
    <w:rsid w:val="00554632"/>
    <w:rsid w:val="0055693F"/>
    <w:rsid w:val="00563248"/>
    <w:rsid w:val="00563749"/>
    <w:rsid w:val="00565AB2"/>
    <w:rsid w:val="00565ECC"/>
    <w:rsid w:val="00567353"/>
    <w:rsid w:val="00572977"/>
    <w:rsid w:val="00575488"/>
    <w:rsid w:val="00576E48"/>
    <w:rsid w:val="0058001E"/>
    <w:rsid w:val="00581C9F"/>
    <w:rsid w:val="005831DD"/>
    <w:rsid w:val="005839FF"/>
    <w:rsid w:val="00590A95"/>
    <w:rsid w:val="00591D0B"/>
    <w:rsid w:val="0059358F"/>
    <w:rsid w:val="0059374D"/>
    <w:rsid w:val="00593C52"/>
    <w:rsid w:val="00593E7F"/>
    <w:rsid w:val="00595AC0"/>
    <w:rsid w:val="00595B56"/>
    <w:rsid w:val="005A6248"/>
    <w:rsid w:val="005A7C6A"/>
    <w:rsid w:val="005B117C"/>
    <w:rsid w:val="005B1286"/>
    <w:rsid w:val="005B1A3E"/>
    <w:rsid w:val="005B2EC8"/>
    <w:rsid w:val="005C068C"/>
    <w:rsid w:val="005C5E07"/>
    <w:rsid w:val="005D2CB1"/>
    <w:rsid w:val="005D4B0B"/>
    <w:rsid w:val="005D591A"/>
    <w:rsid w:val="005D5ABA"/>
    <w:rsid w:val="005D5DC8"/>
    <w:rsid w:val="005E030F"/>
    <w:rsid w:val="005E04AE"/>
    <w:rsid w:val="005F3156"/>
    <w:rsid w:val="00600EC7"/>
    <w:rsid w:val="00603392"/>
    <w:rsid w:val="00603777"/>
    <w:rsid w:val="00610199"/>
    <w:rsid w:val="00611FC8"/>
    <w:rsid w:val="00613FC9"/>
    <w:rsid w:val="00614838"/>
    <w:rsid w:val="0061623A"/>
    <w:rsid w:val="00620198"/>
    <w:rsid w:val="00620B8E"/>
    <w:rsid w:val="006228AC"/>
    <w:rsid w:val="00622CE5"/>
    <w:rsid w:val="00623C87"/>
    <w:rsid w:val="00624BBE"/>
    <w:rsid w:val="006271E3"/>
    <w:rsid w:val="006303CA"/>
    <w:rsid w:val="006303FB"/>
    <w:rsid w:val="00630BB2"/>
    <w:rsid w:val="0063512D"/>
    <w:rsid w:val="0063703D"/>
    <w:rsid w:val="00637835"/>
    <w:rsid w:val="00641948"/>
    <w:rsid w:val="0064347E"/>
    <w:rsid w:val="00643D5B"/>
    <w:rsid w:val="00645AC6"/>
    <w:rsid w:val="00650B40"/>
    <w:rsid w:val="00651439"/>
    <w:rsid w:val="00651D96"/>
    <w:rsid w:val="006522AA"/>
    <w:rsid w:val="00652DC7"/>
    <w:rsid w:val="00653B26"/>
    <w:rsid w:val="0065556C"/>
    <w:rsid w:val="006628DB"/>
    <w:rsid w:val="00663AC4"/>
    <w:rsid w:val="00665B6E"/>
    <w:rsid w:val="00670D70"/>
    <w:rsid w:val="006714BE"/>
    <w:rsid w:val="00672975"/>
    <w:rsid w:val="00673200"/>
    <w:rsid w:val="0067400F"/>
    <w:rsid w:val="00675DC4"/>
    <w:rsid w:val="00676A20"/>
    <w:rsid w:val="00676DB7"/>
    <w:rsid w:val="00683433"/>
    <w:rsid w:val="00686FAF"/>
    <w:rsid w:val="00687DA3"/>
    <w:rsid w:val="00690347"/>
    <w:rsid w:val="00690534"/>
    <w:rsid w:val="0069178F"/>
    <w:rsid w:val="0069561A"/>
    <w:rsid w:val="00696AD1"/>
    <w:rsid w:val="006977A1"/>
    <w:rsid w:val="00697FA6"/>
    <w:rsid w:val="006A1008"/>
    <w:rsid w:val="006A3C6D"/>
    <w:rsid w:val="006A46C0"/>
    <w:rsid w:val="006A4E47"/>
    <w:rsid w:val="006A57EC"/>
    <w:rsid w:val="006A6C19"/>
    <w:rsid w:val="006A73C0"/>
    <w:rsid w:val="006B0942"/>
    <w:rsid w:val="006B0FA1"/>
    <w:rsid w:val="006B147E"/>
    <w:rsid w:val="006B3A1D"/>
    <w:rsid w:val="006B5D12"/>
    <w:rsid w:val="006C01BF"/>
    <w:rsid w:val="006C0DC5"/>
    <w:rsid w:val="006C1310"/>
    <w:rsid w:val="006C1479"/>
    <w:rsid w:val="006C182A"/>
    <w:rsid w:val="006C42FF"/>
    <w:rsid w:val="006C5BF7"/>
    <w:rsid w:val="006D1105"/>
    <w:rsid w:val="006D234A"/>
    <w:rsid w:val="006D5065"/>
    <w:rsid w:val="006D6330"/>
    <w:rsid w:val="006D65BA"/>
    <w:rsid w:val="006E2D5D"/>
    <w:rsid w:val="006E3BD6"/>
    <w:rsid w:val="006E6D46"/>
    <w:rsid w:val="006F1057"/>
    <w:rsid w:val="006F1EBD"/>
    <w:rsid w:val="006F753C"/>
    <w:rsid w:val="006F7F83"/>
    <w:rsid w:val="007026E1"/>
    <w:rsid w:val="00703044"/>
    <w:rsid w:val="0070538C"/>
    <w:rsid w:val="0070562C"/>
    <w:rsid w:val="0070621D"/>
    <w:rsid w:val="00707098"/>
    <w:rsid w:val="0070723A"/>
    <w:rsid w:val="007119A8"/>
    <w:rsid w:val="00714182"/>
    <w:rsid w:val="00716C13"/>
    <w:rsid w:val="00730062"/>
    <w:rsid w:val="0073189A"/>
    <w:rsid w:val="00740B8B"/>
    <w:rsid w:val="0074281F"/>
    <w:rsid w:val="00742B99"/>
    <w:rsid w:val="0074636F"/>
    <w:rsid w:val="00750F3E"/>
    <w:rsid w:val="0075153A"/>
    <w:rsid w:val="00751E6A"/>
    <w:rsid w:val="00752FA2"/>
    <w:rsid w:val="00756FB7"/>
    <w:rsid w:val="0075701A"/>
    <w:rsid w:val="007621ED"/>
    <w:rsid w:val="007629F9"/>
    <w:rsid w:val="00770A8A"/>
    <w:rsid w:val="007742CA"/>
    <w:rsid w:val="00775941"/>
    <w:rsid w:val="0077636C"/>
    <w:rsid w:val="00777AB7"/>
    <w:rsid w:val="007805CF"/>
    <w:rsid w:val="007807F8"/>
    <w:rsid w:val="00780F17"/>
    <w:rsid w:val="007826B9"/>
    <w:rsid w:val="00784C36"/>
    <w:rsid w:val="00785A67"/>
    <w:rsid w:val="00786A60"/>
    <w:rsid w:val="0078740B"/>
    <w:rsid w:val="00787E29"/>
    <w:rsid w:val="00791831"/>
    <w:rsid w:val="007942B1"/>
    <w:rsid w:val="00794441"/>
    <w:rsid w:val="00794883"/>
    <w:rsid w:val="0079647B"/>
    <w:rsid w:val="0079677E"/>
    <w:rsid w:val="00796BA9"/>
    <w:rsid w:val="00797ACD"/>
    <w:rsid w:val="007A2C7E"/>
    <w:rsid w:val="007A33B8"/>
    <w:rsid w:val="007A38A6"/>
    <w:rsid w:val="007A640C"/>
    <w:rsid w:val="007B1630"/>
    <w:rsid w:val="007B292C"/>
    <w:rsid w:val="007B4DE8"/>
    <w:rsid w:val="007B75DE"/>
    <w:rsid w:val="007C0A12"/>
    <w:rsid w:val="007C1518"/>
    <w:rsid w:val="007C2E65"/>
    <w:rsid w:val="007C3E5F"/>
    <w:rsid w:val="007D1FFD"/>
    <w:rsid w:val="007D5067"/>
    <w:rsid w:val="007E12E6"/>
    <w:rsid w:val="007E1431"/>
    <w:rsid w:val="007E2110"/>
    <w:rsid w:val="007E41BB"/>
    <w:rsid w:val="007E4F0A"/>
    <w:rsid w:val="007E56FE"/>
    <w:rsid w:val="007F1A55"/>
    <w:rsid w:val="007F3248"/>
    <w:rsid w:val="007F3F4C"/>
    <w:rsid w:val="007F7F40"/>
    <w:rsid w:val="00800482"/>
    <w:rsid w:val="00802571"/>
    <w:rsid w:val="0080313F"/>
    <w:rsid w:val="008036F1"/>
    <w:rsid w:val="0081178B"/>
    <w:rsid w:val="00811811"/>
    <w:rsid w:val="0081619E"/>
    <w:rsid w:val="00816BEF"/>
    <w:rsid w:val="00816EEE"/>
    <w:rsid w:val="00822EA8"/>
    <w:rsid w:val="00822F6B"/>
    <w:rsid w:val="008300F6"/>
    <w:rsid w:val="008306B4"/>
    <w:rsid w:val="00834A80"/>
    <w:rsid w:val="00834F29"/>
    <w:rsid w:val="00835FF2"/>
    <w:rsid w:val="00837C38"/>
    <w:rsid w:val="00837F9E"/>
    <w:rsid w:val="00840368"/>
    <w:rsid w:val="00840BFB"/>
    <w:rsid w:val="008411B7"/>
    <w:rsid w:val="00841DE8"/>
    <w:rsid w:val="00847A9A"/>
    <w:rsid w:val="00851FE5"/>
    <w:rsid w:val="008534FA"/>
    <w:rsid w:val="0085352C"/>
    <w:rsid w:val="00856367"/>
    <w:rsid w:val="008568EA"/>
    <w:rsid w:val="00860121"/>
    <w:rsid w:val="00861184"/>
    <w:rsid w:val="00861B45"/>
    <w:rsid w:val="00863495"/>
    <w:rsid w:val="00864692"/>
    <w:rsid w:val="008647CA"/>
    <w:rsid w:val="0086561A"/>
    <w:rsid w:val="00870043"/>
    <w:rsid w:val="0087641A"/>
    <w:rsid w:val="00876939"/>
    <w:rsid w:val="008812F1"/>
    <w:rsid w:val="00883D1C"/>
    <w:rsid w:val="0088484E"/>
    <w:rsid w:val="00885734"/>
    <w:rsid w:val="008901DB"/>
    <w:rsid w:val="008A40DB"/>
    <w:rsid w:val="008A7D62"/>
    <w:rsid w:val="008A7E22"/>
    <w:rsid w:val="008B0EAF"/>
    <w:rsid w:val="008B0F76"/>
    <w:rsid w:val="008B27E6"/>
    <w:rsid w:val="008B5436"/>
    <w:rsid w:val="008B645A"/>
    <w:rsid w:val="008B6621"/>
    <w:rsid w:val="008B7354"/>
    <w:rsid w:val="008C1547"/>
    <w:rsid w:val="008C1C04"/>
    <w:rsid w:val="008C1F43"/>
    <w:rsid w:val="008C2EAA"/>
    <w:rsid w:val="008C35B8"/>
    <w:rsid w:val="008C645B"/>
    <w:rsid w:val="008C660C"/>
    <w:rsid w:val="008D185E"/>
    <w:rsid w:val="008D3310"/>
    <w:rsid w:val="008D35E2"/>
    <w:rsid w:val="008D6D2A"/>
    <w:rsid w:val="008D6D92"/>
    <w:rsid w:val="008D77FC"/>
    <w:rsid w:val="008E392E"/>
    <w:rsid w:val="008E46F0"/>
    <w:rsid w:val="008E7916"/>
    <w:rsid w:val="008F0C75"/>
    <w:rsid w:val="008F0FA8"/>
    <w:rsid w:val="008F4E9D"/>
    <w:rsid w:val="00900317"/>
    <w:rsid w:val="00903228"/>
    <w:rsid w:val="009036CA"/>
    <w:rsid w:val="00903FE8"/>
    <w:rsid w:val="00911012"/>
    <w:rsid w:val="00915D84"/>
    <w:rsid w:val="00915EED"/>
    <w:rsid w:val="00916131"/>
    <w:rsid w:val="00917095"/>
    <w:rsid w:val="00921779"/>
    <w:rsid w:val="00921BAE"/>
    <w:rsid w:val="00924902"/>
    <w:rsid w:val="00927713"/>
    <w:rsid w:val="00927AA2"/>
    <w:rsid w:val="00930C89"/>
    <w:rsid w:val="0093120D"/>
    <w:rsid w:val="009329EB"/>
    <w:rsid w:val="00933DFC"/>
    <w:rsid w:val="009350E3"/>
    <w:rsid w:val="009402EB"/>
    <w:rsid w:val="00942C4A"/>
    <w:rsid w:val="00943D7F"/>
    <w:rsid w:val="009446CC"/>
    <w:rsid w:val="00944988"/>
    <w:rsid w:val="00944E79"/>
    <w:rsid w:val="009461F3"/>
    <w:rsid w:val="009521C5"/>
    <w:rsid w:val="0095368A"/>
    <w:rsid w:val="00954371"/>
    <w:rsid w:val="00954DDE"/>
    <w:rsid w:val="009571E5"/>
    <w:rsid w:val="00957E91"/>
    <w:rsid w:val="00960263"/>
    <w:rsid w:val="00960761"/>
    <w:rsid w:val="00962144"/>
    <w:rsid w:val="00962A15"/>
    <w:rsid w:val="0096319C"/>
    <w:rsid w:val="00964460"/>
    <w:rsid w:val="00971549"/>
    <w:rsid w:val="00971981"/>
    <w:rsid w:val="00976740"/>
    <w:rsid w:val="009807C9"/>
    <w:rsid w:val="00984205"/>
    <w:rsid w:val="0098774A"/>
    <w:rsid w:val="0099382C"/>
    <w:rsid w:val="009956F8"/>
    <w:rsid w:val="00997059"/>
    <w:rsid w:val="00997A58"/>
    <w:rsid w:val="009A19BF"/>
    <w:rsid w:val="009A1C1D"/>
    <w:rsid w:val="009A308A"/>
    <w:rsid w:val="009A3A7A"/>
    <w:rsid w:val="009A464F"/>
    <w:rsid w:val="009A6A5D"/>
    <w:rsid w:val="009A6F0B"/>
    <w:rsid w:val="009B1582"/>
    <w:rsid w:val="009B4E66"/>
    <w:rsid w:val="009B70E3"/>
    <w:rsid w:val="009C1D0B"/>
    <w:rsid w:val="009C1E62"/>
    <w:rsid w:val="009C411D"/>
    <w:rsid w:val="009C66EF"/>
    <w:rsid w:val="009C6E5A"/>
    <w:rsid w:val="009D0961"/>
    <w:rsid w:val="009D1F13"/>
    <w:rsid w:val="009D301D"/>
    <w:rsid w:val="009D3A2B"/>
    <w:rsid w:val="009D3F71"/>
    <w:rsid w:val="009D70FA"/>
    <w:rsid w:val="009E1E75"/>
    <w:rsid w:val="009E576B"/>
    <w:rsid w:val="009E6C8D"/>
    <w:rsid w:val="009F2773"/>
    <w:rsid w:val="009F3618"/>
    <w:rsid w:val="009F4227"/>
    <w:rsid w:val="009F5FAE"/>
    <w:rsid w:val="00A0164A"/>
    <w:rsid w:val="00A01ADD"/>
    <w:rsid w:val="00A021A0"/>
    <w:rsid w:val="00A058DB"/>
    <w:rsid w:val="00A05EB1"/>
    <w:rsid w:val="00A06213"/>
    <w:rsid w:val="00A07CDD"/>
    <w:rsid w:val="00A149F2"/>
    <w:rsid w:val="00A21D18"/>
    <w:rsid w:val="00A21E69"/>
    <w:rsid w:val="00A22BE1"/>
    <w:rsid w:val="00A23887"/>
    <w:rsid w:val="00A244B6"/>
    <w:rsid w:val="00A248DC"/>
    <w:rsid w:val="00A26656"/>
    <w:rsid w:val="00A314C9"/>
    <w:rsid w:val="00A35148"/>
    <w:rsid w:val="00A35AE9"/>
    <w:rsid w:val="00A4088E"/>
    <w:rsid w:val="00A41016"/>
    <w:rsid w:val="00A42D68"/>
    <w:rsid w:val="00A44E0B"/>
    <w:rsid w:val="00A45266"/>
    <w:rsid w:val="00A46CBF"/>
    <w:rsid w:val="00A47958"/>
    <w:rsid w:val="00A4797B"/>
    <w:rsid w:val="00A47B72"/>
    <w:rsid w:val="00A47BEE"/>
    <w:rsid w:val="00A54CF0"/>
    <w:rsid w:val="00A616FA"/>
    <w:rsid w:val="00A65CA1"/>
    <w:rsid w:val="00A679E2"/>
    <w:rsid w:val="00A67E72"/>
    <w:rsid w:val="00A717D7"/>
    <w:rsid w:val="00A73702"/>
    <w:rsid w:val="00A73777"/>
    <w:rsid w:val="00A74A95"/>
    <w:rsid w:val="00A75446"/>
    <w:rsid w:val="00A7570D"/>
    <w:rsid w:val="00A77AB4"/>
    <w:rsid w:val="00A77DD7"/>
    <w:rsid w:val="00A8013D"/>
    <w:rsid w:val="00A85419"/>
    <w:rsid w:val="00A873D7"/>
    <w:rsid w:val="00A8781E"/>
    <w:rsid w:val="00A90A81"/>
    <w:rsid w:val="00A9189D"/>
    <w:rsid w:val="00A930A5"/>
    <w:rsid w:val="00A93E61"/>
    <w:rsid w:val="00A946C1"/>
    <w:rsid w:val="00A95C70"/>
    <w:rsid w:val="00AA02ED"/>
    <w:rsid w:val="00AB1424"/>
    <w:rsid w:val="00AB307D"/>
    <w:rsid w:val="00AB3D08"/>
    <w:rsid w:val="00AB4828"/>
    <w:rsid w:val="00AB48E7"/>
    <w:rsid w:val="00AC0A23"/>
    <w:rsid w:val="00AC2006"/>
    <w:rsid w:val="00AC22BD"/>
    <w:rsid w:val="00AC303A"/>
    <w:rsid w:val="00AC527D"/>
    <w:rsid w:val="00AD35EE"/>
    <w:rsid w:val="00AD3F3B"/>
    <w:rsid w:val="00AD530B"/>
    <w:rsid w:val="00AE5E1C"/>
    <w:rsid w:val="00AE6E19"/>
    <w:rsid w:val="00AE7FB6"/>
    <w:rsid w:val="00AF1028"/>
    <w:rsid w:val="00AF348E"/>
    <w:rsid w:val="00AF42B3"/>
    <w:rsid w:val="00AF4AFA"/>
    <w:rsid w:val="00AF57AF"/>
    <w:rsid w:val="00AF6F70"/>
    <w:rsid w:val="00B005E0"/>
    <w:rsid w:val="00B03C45"/>
    <w:rsid w:val="00B121D5"/>
    <w:rsid w:val="00B2548A"/>
    <w:rsid w:val="00B31914"/>
    <w:rsid w:val="00B33051"/>
    <w:rsid w:val="00B35B00"/>
    <w:rsid w:val="00B36E4C"/>
    <w:rsid w:val="00B37887"/>
    <w:rsid w:val="00B37FB5"/>
    <w:rsid w:val="00B403B1"/>
    <w:rsid w:val="00B41154"/>
    <w:rsid w:val="00B451DE"/>
    <w:rsid w:val="00B51A80"/>
    <w:rsid w:val="00B523D5"/>
    <w:rsid w:val="00B57FD9"/>
    <w:rsid w:val="00B62E97"/>
    <w:rsid w:val="00B6435A"/>
    <w:rsid w:val="00B644BF"/>
    <w:rsid w:val="00B737D4"/>
    <w:rsid w:val="00B744FC"/>
    <w:rsid w:val="00B765A6"/>
    <w:rsid w:val="00B847EF"/>
    <w:rsid w:val="00B84C7F"/>
    <w:rsid w:val="00B856E2"/>
    <w:rsid w:val="00B85CD7"/>
    <w:rsid w:val="00B91E1E"/>
    <w:rsid w:val="00B922D7"/>
    <w:rsid w:val="00B969D0"/>
    <w:rsid w:val="00B97600"/>
    <w:rsid w:val="00B97AC8"/>
    <w:rsid w:val="00BA1AC8"/>
    <w:rsid w:val="00BA4596"/>
    <w:rsid w:val="00BA510B"/>
    <w:rsid w:val="00BA7889"/>
    <w:rsid w:val="00BA7FD8"/>
    <w:rsid w:val="00BB2A9A"/>
    <w:rsid w:val="00BB5EE5"/>
    <w:rsid w:val="00BC055B"/>
    <w:rsid w:val="00BC0BC8"/>
    <w:rsid w:val="00BC293E"/>
    <w:rsid w:val="00BC3B47"/>
    <w:rsid w:val="00BC3E68"/>
    <w:rsid w:val="00BC3E7F"/>
    <w:rsid w:val="00BC55D1"/>
    <w:rsid w:val="00BD00D4"/>
    <w:rsid w:val="00BD01BE"/>
    <w:rsid w:val="00BE0F85"/>
    <w:rsid w:val="00BE4696"/>
    <w:rsid w:val="00BF1A1B"/>
    <w:rsid w:val="00BF3A19"/>
    <w:rsid w:val="00BF490D"/>
    <w:rsid w:val="00BF4FFB"/>
    <w:rsid w:val="00C0287F"/>
    <w:rsid w:val="00C047E6"/>
    <w:rsid w:val="00C05080"/>
    <w:rsid w:val="00C06C8D"/>
    <w:rsid w:val="00C11192"/>
    <w:rsid w:val="00C135BD"/>
    <w:rsid w:val="00C15A05"/>
    <w:rsid w:val="00C2147C"/>
    <w:rsid w:val="00C2217A"/>
    <w:rsid w:val="00C224C5"/>
    <w:rsid w:val="00C26CFE"/>
    <w:rsid w:val="00C31AD2"/>
    <w:rsid w:val="00C32A3D"/>
    <w:rsid w:val="00C34C95"/>
    <w:rsid w:val="00C366DC"/>
    <w:rsid w:val="00C36E42"/>
    <w:rsid w:val="00C402FE"/>
    <w:rsid w:val="00C41010"/>
    <w:rsid w:val="00C44384"/>
    <w:rsid w:val="00C479BF"/>
    <w:rsid w:val="00C47BC4"/>
    <w:rsid w:val="00C50553"/>
    <w:rsid w:val="00C5463B"/>
    <w:rsid w:val="00C55838"/>
    <w:rsid w:val="00C55C24"/>
    <w:rsid w:val="00C667AC"/>
    <w:rsid w:val="00C71E30"/>
    <w:rsid w:val="00C755D8"/>
    <w:rsid w:val="00C77C41"/>
    <w:rsid w:val="00C80920"/>
    <w:rsid w:val="00C81BE3"/>
    <w:rsid w:val="00C83565"/>
    <w:rsid w:val="00C838D8"/>
    <w:rsid w:val="00C83CF4"/>
    <w:rsid w:val="00C87900"/>
    <w:rsid w:val="00C87BFE"/>
    <w:rsid w:val="00C90E08"/>
    <w:rsid w:val="00C92360"/>
    <w:rsid w:val="00C923BC"/>
    <w:rsid w:val="00C93043"/>
    <w:rsid w:val="00C9401F"/>
    <w:rsid w:val="00C94F45"/>
    <w:rsid w:val="00C9550C"/>
    <w:rsid w:val="00C9651C"/>
    <w:rsid w:val="00C974B2"/>
    <w:rsid w:val="00CA2936"/>
    <w:rsid w:val="00CA2D6C"/>
    <w:rsid w:val="00CA63AA"/>
    <w:rsid w:val="00CA7027"/>
    <w:rsid w:val="00CA7D63"/>
    <w:rsid w:val="00CA7E8E"/>
    <w:rsid w:val="00CB2C04"/>
    <w:rsid w:val="00CB5C87"/>
    <w:rsid w:val="00CB605E"/>
    <w:rsid w:val="00CB720D"/>
    <w:rsid w:val="00CB72EF"/>
    <w:rsid w:val="00CB7D48"/>
    <w:rsid w:val="00CC4702"/>
    <w:rsid w:val="00CD13FB"/>
    <w:rsid w:val="00CD33C4"/>
    <w:rsid w:val="00CD4320"/>
    <w:rsid w:val="00CD57EE"/>
    <w:rsid w:val="00CD5DC9"/>
    <w:rsid w:val="00CD6BEE"/>
    <w:rsid w:val="00CD7BA1"/>
    <w:rsid w:val="00CE0DD9"/>
    <w:rsid w:val="00CE0F8D"/>
    <w:rsid w:val="00CE43AD"/>
    <w:rsid w:val="00CE528F"/>
    <w:rsid w:val="00CE548C"/>
    <w:rsid w:val="00CE6E68"/>
    <w:rsid w:val="00CF2393"/>
    <w:rsid w:val="00CF2401"/>
    <w:rsid w:val="00CF6DD7"/>
    <w:rsid w:val="00CF772C"/>
    <w:rsid w:val="00CF79B4"/>
    <w:rsid w:val="00D051F7"/>
    <w:rsid w:val="00D07842"/>
    <w:rsid w:val="00D07DD2"/>
    <w:rsid w:val="00D11D10"/>
    <w:rsid w:val="00D128E3"/>
    <w:rsid w:val="00D2008B"/>
    <w:rsid w:val="00D22AAC"/>
    <w:rsid w:val="00D25AA6"/>
    <w:rsid w:val="00D30B23"/>
    <w:rsid w:val="00D30C87"/>
    <w:rsid w:val="00D31EC8"/>
    <w:rsid w:val="00D34003"/>
    <w:rsid w:val="00D36504"/>
    <w:rsid w:val="00D44125"/>
    <w:rsid w:val="00D51F5C"/>
    <w:rsid w:val="00D55C53"/>
    <w:rsid w:val="00D56B31"/>
    <w:rsid w:val="00D57123"/>
    <w:rsid w:val="00D57830"/>
    <w:rsid w:val="00D623C1"/>
    <w:rsid w:val="00D64B2C"/>
    <w:rsid w:val="00D67B37"/>
    <w:rsid w:val="00D67CDD"/>
    <w:rsid w:val="00D7439F"/>
    <w:rsid w:val="00D7445C"/>
    <w:rsid w:val="00D76053"/>
    <w:rsid w:val="00D76B3D"/>
    <w:rsid w:val="00D84C98"/>
    <w:rsid w:val="00D8777A"/>
    <w:rsid w:val="00D87E88"/>
    <w:rsid w:val="00D90821"/>
    <w:rsid w:val="00D90E07"/>
    <w:rsid w:val="00D943A4"/>
    <w:rsid w:val="00DA1DC5"/>
    <w:rsid w:val="00DA6817"/>
    <w:rsid w:val="00DA732D"/>
    <w:rsid w:val="00DB38CD"/>
    <w:rsid w:val="00DB5471"/>
    <w:rsid w:val="00DB6DD3"/>
    <w:rsid w:val="00DC0581"/>
    <w:rsid w:val="00DC3A26"/>
    <w:rsid w:val="00DC4BF2"/>
    <w:rsid w:val="00DC62A4"/>
    <w:rsid w:val="00DD3E48"/>
    <w:rsid w:val="00DD4772"/>
    <w:rsid w:val="00DD4D24"/>
    <w:rsid w:val="00DD7EA2"/>
    <w:rsid w:val="00DE20F0"/>
    <w:rsid w:val="00DE3EA6"/>
    <w:rsid w:val="00DE4289"/>
    <w:rsid w:val="00DE6B0F"/>
    <w:rsid w:val="00DF1765"/>
    <w:rsid w:val="00DF711C"/>
    <w:rsid w:val="00DF7CC3"/>
    <w:rsid w:val="00E00EDF"/>
    <w:rsid w:val="00E01881"/>
    <w:rsid w:val="00E01909"/>
    <w:rsid w:val="00E03703"/>
    <w:rsid w:val="00E153F6"/>
    <w:rsid w:val="00E1550F"/>
    <w:rsid w:val="00E17A09"/>
    <w:rsid w:val="00E22780"/>
    <w:rsid w:val="00E27571"/>
    <w:rsid w:val="00E3016D"/>
    <w:rsid w:val="00E30B35"/>
    <w:rsid w:val="00E30EBD"/>
    <w:rsid w:val="00E321F7"/>
    <w:rsid w:val="00E3277A"/>
    <w:rsid w:val="00E3419F"/>
    <w:rsid w:val="00E36D6A"/>
    <w:rsid w:val="00E37AE4"/>
    <w:rsid w:val="00E424EA"/>
    <w:rsid w:val="00E42EFE"/>
    <w:rsid w:val="00E44C1B"/>
    <w:rsid w:val="00E44D13"/>
    <w:rsid w:val="00E44E15"/>
    <w:rsid w:val="00E4577C"/>
    <w:rsid w:val="00E510BF"/>
    <w:rsid w:val="00E563F3"/>
    <w:rsid w:val="00E578AE"/>
    <w:rsid w:val="00E639D1"/>
    <w:rsid w:val="00E640C9"/>
    <w:rsid w:val="00E65088"/>
    <w:rsid w:val="00E65F59"/>
    <w:rsid w:val="00E70FBF"/>
    <w:rsid w:val="00E75C52"/>
    <w:rsid w:val="00E76BD7"/>
    <w:rsid w:val="00E77C05"/>
    <w:rsid w:val="00E842FF"/>
    <w:rsid w:val="00E84A10"/>
    <w:rsid w:val="00E857FD"/>
    <w:rsid w:val="00E90933"/>
    <w:rsid w:val="00E91888"/>
    <w:rsid w:val="00E91A8E"/>
    <w:rsid w:val="00E9268B"/>
    <w:rsid w:val="00E92694"/>
    <w:rsid w:val="00E955B1"/>
    <w:rsid w:val="00EA354C"/>
    <w:rsid w:val="00EA71C1"/>
    <w:rsid w:val="00EA7B52"/>
    <w:rsid w:val="00EA7E26"/>
    <w:rsid w:val="00EB0DCB"/>
    <w:rsid w:val="00EB0F81"/>
    <w:rsid w:val="00EB51D4"/>
    <w:rsid w:val="00EB5F05"/>
    <w:rsid w:val="00EB6AAF"/>
    <w:rsid w:val="00EC0B27"/>
    <w:rsid w:val="00EC2BD4"/>
    <w:rsid w:val="00EC3788"/>
    <w:rsid w:val="00EC3C10"/>
    <w:rsid w:val="00EC67C7"/>
    <w:rsid w:val="00EC78D3"/>
    <w:rsid w:val="00ED00C1"/>
    <w:rsid w:val="00ED3C64"/>
    <w:rsid w:val="00ED6CA5"/>
    <w:rsid w:val="00ED744B"/>
    <w:rsid w:val="00EE4D72"/>
    <w:rsid w:val="00EE4E7C"/>
    <w:rsid w:val="00EE65C8"/>
    <w:rsid w:val="00EF2CB8"/>
    <w:rsid w:val="00EF3B57"/>
    <w:rsid w:val="00EF753D"/>
    <w:rsid w:val="00F01A3E"/>
    <w:rsid w:val="00F03632"/>
    <w:rsid w:val="00F074FD"/>
    <w:rsid w:val="00F110AB"/>
    <w:rsid w:val="00F11979"/>
    <w:rsid w:val="00F11B65"/>
    <w:rsid w:val="00F12205"/>
    <w:rsid w:val="00F1386A"/>
    <w:rsid w:val="00F15022"/>
    <w:rsid w:val="00F152C1"/>
    <w:rsid w:val="00F1582E"/>
    <w:rsid w:val="00F16DF4"/>
    <w:rsid w:val="00F202F6"/>
    <w:rsid w:val="00F20AD4"/>
    <w:rsid w:val="00F211C8"/>
    <w:rsid w:val="00F2183A"/>
    <w:rsid w:val="00F224FA"/>
    <w:rsid w:val="00F25158"/>
    <w:rsid w:val="00F25521"/>
    <w:rsid w:val="00F32806"/>
    <w:rsid w:val="00F413B4"/>
    <w:rsid w:val="00F438EE"/>
    <w:rsid w:val="00F47412"/>
    <w:rsid w:val="00F47880"/>
    <w:rsid w:val="00F531AC"/>
    <w:rsid w:val="00F536BB"/>
    <w:rsid w:val="00F53E0C"/>
    <w:rsid w:val="00F549EF"/>
    <w:rsid w:val="00F553C5"/>
    <w:rsid w:val="00F561E7"/>
    <w:rsid w:val="00F5633C"/>
    <w:rsid w:val="00F56CD4"/>
    <w:rsid w:val="00F61CEB"/>
    <w:rsid w:val="00F620E5"/>
    <w:rsid w:val="00F62198"/>
    <w:rsid w:val="00F622FB"/>
    <w:rsid w:val="00F6388B"/>
    <w:rsid w:val="00F642B7"/>
    <w:rsid w:val="00F74977"/>
    <w:rsid w:val="00F77711"/>
    <w:rsid w:val="00F80261"/>
    <w:rsid w:val="00F82A3E"/>
    <w:rsid w:val="00F85EC9"/>
    <w:rsid w:val="00F86004"/>
    <w:rsid w:val="00F8719B"/>
    <w:rsid w:val="00F921F1"/>
    <w:rsid w:val="00F926E6"/>
    <w:rsid w:val="00F93CE4"/>
    <w:rsid w:val="00F93EC7"/>
    <w:rsid w:val="00F963A9"/>
    <w:rsid w:val="00FA043B"/>
    <w:rsid w:val="00FA1CF0"/>
    <w:rsid w:val="00FA3A1A"/>
    <w:rsid w:val="00FA5972"/>
    <w:rsid w:val="00FB04D1"/>
    <w:rsid w:val="00FB0FC7"/>
    <w:rsid w:val="00FB2F82"/>
    <w:rsid w:val="00FB53AA"/>
    <w:rsid w:val="00FB588B"/>
    <w:rsid w:val="00FB6667"/>
    <w:rsid w:val="00FC1072"/>
    <w:rsid w:val="00FC1897"/>
    <w:rsid w:val="00FC3809"/>
    <w:rsid w:val="00FC4ECB"/>
    <w:rsid w:val="00FC5809"/>
    <w:rsid w:val="00FC62D5"/>
    <w:rsid w:val="00FD0CC3"/>
    <w:rsid w:val="00FD32AB"/>
    <w:rsid w:val="00FD341F"/>
    <w:rsid w:val="00FD4F65"/>
    <w:rsid w:val="00FD55B3"/>
    <w:rsid w:val="00FE01C5"/>
    <w:rsid w:val="00FE4048"/>
    <w:rsid w:val="00FE59A2"/>
    <w:rsid w:val="00FF4DE1"/>
    <w:rsid w:val="00FF55AD"/>
    <w:rsid w:val="00FF5901"/>
    <w:rsid w:val="00FF67F5"/>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jc w:val="both"/>
    </w:pPr>
    <w:rPr>
      <w:sz w:val="22"/>
      <w:szCs w:val="24"/>
    </w:rPr>
  </w:style>
  <w:style w:type="paragraph" w:styleId="Heading1">
    <w:name w:val="heading 1"/>
    <w:basedOn w:val="Normal"/>
    <w:next w:val="Normal"/>
    <w:uiPriority w:val="9"/>
    <w:qFormat/>
    <w:pPr>
      <w:keepNext/>
      <w:numPr>
        <w:numId w:val="1"/>
      </w:numPr>
      <w:pBdr>
        <w:bottom w:val="single" w:sz="12" w:space="1" w:color="000000"/>
      </w:pBdr>
      <w:tabs>
        <w:tab w:val="right" w:pos="8568"/>
      </w:tabs>
      <w:spacing w:before="1300" w:after="540"/>
      <w:outlineLvl w:val="0"/>
    </w:pPr>
    <w:rPr>
      <w:b/>
      <w:kern w:val="3"/>
      <w:sz w:val="26"/>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b/>
      <w:bCs/>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styleId="Header">
    <w:name w:val="header"/>
    <w:basedOn w:val="Normal"/>
    <w:pPr>
      <w:tabs>
        <w:tab w:val="center" w:pos="4320"/>
        <w:tab w:val="right" w:pos="8640"/>
      </w:tabs>
    </w:pPr>
  </w:style>
  <w:style w:type="paragraph" w:customStyle="1" w:styleId="6LOH">
    <w:name w:val="6LOH"/>
    <w:basedOn w:val="Normal"/>
    <w:pPr>
      <w:keepNext/>
      <w:spacing w:after="0"/>
      <w:ind w:left="360"/>
    </w:pPr>
    <w:rPr>
      <w:i/>
    </w:rPr>
  </w:style>
  <w:style w:type="paragraph" w:customStyle="1" w:styleId="2LOH">
    <w:name w:val="2LOH"/>
    <w:next w:val="Normal"/>
    <w:pPr>
      <w:keepNext/>
      <w:suppressAutoHyphens/>
      <w:spacing w:before="120" w:after="160"/>
    </w:pPr>
    <w:rPr>
      <w:b/>
      <w:caps/>
      <w:sz w:val="26"/>
    </w:rPr>
  </w:style>
  <w:style w:type="paragraph" w:customStyle="1" w:styleId="3LOH">
    <w:name w:val="3LOH"/>
    <w:next w:val="Normal"/>
    <w:pPr>
      <w:keepNext/>
      <w:suppressAutoHyphens/>
      <w:spacing w:before="120" w:after="140"/>
    </w:pPr>
    <w:rPr>
      <w:b/>
      <w:caps/>
      <w:sz w:val="22"/>
    </w:rPr>
  </w:style>
  <w:style w:type="paragraph" w:customStyle="1" w:styleId="4LOH">
    <w:name w:val="4LOH"/>
    <w:next w:val="Normal"/>
    <w:pPr>
      <w:keepNext/>
      <w:suppressAutoHyphens/>
      <w:spacing w:before="120" w:after="140"/>
    </w:pPr>
    <w:rPr>
      <w:i/>
      <w:caps/>
      <w:sz w:val="22"/>
    </w:rPr>
  </w:style>
  <w:style w:type="paragraph" w:customStyle="1" w:styleId="5LOH">
    <w:name w:val="5LOH"/>
    <w:next w:val="Normal"/>
    <w:pPr>
      <w:keepNext/>
      <w:suppressAutoHyphens/>
      <w:spacing w:before="60" w:after="100"/>
    </w:pPr>
    <w:rPr>
      <w:i/>
      <w:sz w:val="22"/>
    </w:rPr>
  </w:style>
  <w:style w:type="paragraph" w:styleId="TOC1">
    <w:name w:val="toc 1"/>
    <w:basedOn w:val="Normal"/>
    <w:next w:val="Normal"/>
    <w:autoRedefine/>
  </w:style>
  <w:style w:type="paragraph" w:styleId="FootnoteText">
    <w:name w:val="footnote text"/>
    <w:basedOn w:val="Normal"/>
    <w:autoRedefine/>
    <w:pPr>
      <w:tabs>
        <w:tab w:val="left" w:pos="288"/>
      </w:tabs>
      <w:ind w:left="144" w:hanging="144"/>
    </w:pPr>
    <w:rPr>
      <w:sz w:val="20"/>
      <w:szCs w:val="20"/>
    </w:rPr>
  </w:style>
  <w:style w:type="paragraph" w:styleId="Footer">
    <w:name w:val="footer"/>
    <w:basedOn w:val="Normal"/>
    <w:pPr>
      <w:tabs>
        <w:tab w:val="center" w:pos="4320"/>
        <w:tab w:val="right" w:pos="8640"/>
      </w:tabs>
    </w:pPr>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character" w:styleId="Hyperlink">
    <w:name w:val="Hyperlink"/>
    <w:rPr>
      <w:color w:val="0000FF"/>
      <w:u w:val="single"/>
    </w:rPr>
  </w:style>
  <w:style w:type="character" w:styleId="FootnoteReference">
    <w:name w:val="footnote reference"/>
    <w:rPr>
      <w:position w:val="0"/>
      <w:vertAlign w:val="superscript"/>
    </w:rPr>
  </w:style>
  <w:style w:type="paragraph" w:customStyle="1" w:styleId="TableTitle">
    <w:name w:val="Table Title"/>
    <w:pPr>
      <w:suppressAutoHyphens/>
      <w:jc w:val="right"/>
    </w:pPr>
    <w:rPr>
      <w:b/>
      <w:sz w:val="24"/>
    </w:rPr>
  </w:style>
  <w:style w:type="paragraph" w:customStyle="1" w:styleId="number">
    <w:name w:val="number"/>
    <w:basedOn w:val="Normal"/>
  </w:style>
  <w:style w:type="paragraph" w:customStyle="1" w:styleId="numberList">
    <w:name w:val="numberList"/>
    <w:basedOn w:val="number"/>
    <w:pPr>
      <w:numPr>
        <w:numId w:val="7"/>
      </w:numPr>
      <w:tabs>
        <w:tab w:val="left" w:pos="-720"/>
      </w:tabs>
      <w:spacing w:after="0"/>
    </w:pPr>
  </w:style>
  <w:style w:type="paragraph" w:customStyle="1" w:styleId="Bullet2">
    <w:name w:val="Bullet2"/>
    <w:basedOn w:val="number"/>
    <w:pPr>
      <w:numPr>
        <w:numId w:val="5"/>
      </w:numPr>
    </w:pPr>
  </w:style>
  <w:style w:type="paragraph" w:customStyle="1" w:styleId="TableHead">
    <w:name w:val="TableHead"/>
    <w:pPr>
      <w:suppressAutoHyphens/>
      <w:spacing w:before="40"/>
      <w:jc w:val="center"/>
    </w:pPr>
    <w:rPr>
      <w:rFonts w:ascii="Arial" w:hAnsi="Arial"/>
      <w:b/>
      <w:sz w:val="18"/>
    </w:rPr>
  </w:style>
  <w:style w:type="paragraph" w:customStyle="1" w:styleId="TableText">
    <w:name w:val="TableText"/>
    <w:pPr>
      <w:suppressAutoHyphens/>
      <w:spacing w:before="40"/>
      <w:ind w:left="29"/>
      <w:jc w:val="center"/>
    </w:pPr>
    <w:rPr>
      <w:rFonts w:ascii="Arial" w:hAnsi="Arial"/>
      <w:sz w:val="18"/>
    </w:rPr>
  </w:style>
  <w:style w:type="paragraph" w:styleId="TableofFigures">
    <w:name w:val="table of figures"/>
    <w:basedOn w:val="Normal"/>
    <w:next w:val="Normal"/>
    <w:pPr>
      <w:ind w:left="440" w:hanging="440"/>
    </w:pPr>
    <w:rPr>
      <w:caps/>
    </w:rPr>
  </w:style>
  <w:style w:type="paragraph" w:customStyle="1" w:styleId="Comment">
    <w:name w:val="Comment"/>
    <w:basedOn w:val="Normal"/>
    <w:next w:val="Normal"/>
    <w:pPr>
      <w:numPr>
        <w:numId w:val="6"/>
      </w:numPr>
      <w:spacing w:before="240" w:line="264" w:lineRule="auto"/>
    </w:pPr>
    <w:rPr>
      <w:szCs w:val="20"/>
    </w:rPr>
  </w:style>
  <w:style w:type="paragraph" w:customStyle="1" w:styleId="Response">
    <w:name w:val="Response"/>
    <w:basedOn w:val="Normal"/>
    <w:next w:val="Comment"/>
    <w:pPr>
      <w:numPr>
        <w:numId w:val="8"/>
      </w:numPr>
      <w:spacing w:line="264" w:lineRule="auto"/>
    </w:pPr>
    <w:rPr>
      <w:szCs w:val="20"/>
    </w:rPr>
  </w:style>
  <w:style w:type="paragraph" w:styleId="NormalWeb">
    <w:name w:val="Normal (Web)"/>
    <w:basedOn w:val="Normal"/>
    <w:pPr>
      <w:spacing w:before="100" w:after="100"/>
      <w:jc w:val="left"/>
    </w:pPr>
    <w:rPr>
      <w:color w:val="000000"/>
      <w:sz w:val="24"/>
    </w:rPr>
  </w:style>
  <w:style w:type="character" w:customStyle="1" w:styleId="7LOH">
    <w:name w:val="7LOH"/>
    <w:rPr>
      <w:rFonts w:ascii="Times New Roman" w:hAnsi="Times New Roman"/>
      <w:i/>
      <w:strike w:val="0"/>
      <w:dstrike w:val="0"/>
      <w:color w:val="auto"/>
      <w:position w:val="0"/>
      <w:sz w:val="22"/>
      <w:u w:val="none"/>
      <w:vertAlign w:val="baseline"/>
    </w:rPr>
  </w:style>
  <w:style w:type="paragraph" w:customStyle="1" w:styleId="CommentResponseAdditionalParagraph">
    <w:name w:val="Comment/Response Additional Paragraph"/>
    <w:basedOn w:val="Normal"/>
    <w:pPr>
      <w:spacing w:line="264" w:lineRule="auto"/>
      <w:ind w:left="1440"/>
    </w:pPr>
  </w:style>
  <w:style w:type="paragraph" w:styleId="BalloonText">
    <w:name w:val="Balloon Text"/>
    <w:basedOn w:val="Normal"/>
    <w:rPr>
      <w:rFonts w:ascii="Tahoma" w:hAnsi="Tahoma" w:cs="Tahoma"/>
      <w:sz w:val="16"/>
      <w:szCs w:val="16"/>
    </w:rPr>
  </w:style>
  <w:style w:type="paragraph" w:styleId="BodyText">
    <w:name w:val="Body Text"/>
    <w:basedOn w:val="Normal"/>
    <w:rPr>
      <w:color w:val="33CCCC"/>
    </w:rPr>
  </w:style>
  <w:style w:type="paragraph" w:styleId="BodyText2">
    <w:name w:val="Body Text 2"/>
    <w:basedOn w:val="Normal"/>
    <w:rPr>
      <w:color w:val="0000FF"/>
    </w:rPr>
  </w:style>
  <w:style w:type="paragraph" w:styleId="BodyText3">
    <w:name w:val="Body Text 3"/>
    <w:basedOn w:val="Normal"/>
    <w:rPr>
      <w:color w:val="FF0000"/>
    </w:rPr>
  </w:style>
  <w:style w:type="paragraph" w:customStyle="1" w:styleId="Bullet">
    <w:name w:val="Bullet"/>
    <w:basedOn w:val="Normal"/>
    <w:pPr>
      <w:numPr>
        <w:numId w:val="9"/>
      </w:numPr>
      <w:tabs>
        <w:tab w:val="left" w:pos="-1800"/>
      </w:tabs>
      <w:spacing w:after="60"/>
    </w:pPr>
    <w:rPr>
      <w:rFonts w:ascii="Times" w:hAnsi="Times"/>
      <w:szCs w:val="22"/>
    </w:rPr>
  </w:style>
  <w:style w:type="character" w:styleId="FollowedHyperlink">
    <w:name w:val="FollowedHyperlink"/>
    <w:rPr>
      <w:color w:val="800080"/>
      <w:u w:val="single"/>
    </w:r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GTDocID">
    <w:name w:val="GT DocID"/>
    <w:basedOn w:val="Normal"/>
    <w:pPr>
      <w:spacing w:after="200" w:line="276" w:lineRule="auto"/>
      <w:jc w:val="left"/>
    </w:pPr>
    <w:rPr>
      <w:rFonts w:ascii="Arial" w:eastAsia="Calibri" w:hAnsi="Arial"/>
      <w:i/>
      <w:sz w:val="16"/>
      <w:szCs w:val="22"/>
    </w:rPr>
  </w:style>
  <w:style w:type="character" w:customStyle="1" w:styleId="GTDocIDChar">
    <w:name w:val="GT DocID Char"/>
    <w:rPr>
      <w:rFonts w:ascii="Arial" w:eastAsia="Calibri" w:hAnsi="Arial"/>
      <w:i/>
      <w:sz w:val="16"/>
      <w:szCs w:val="22"/>
    </w:rPr>
  </w:style>
  <w:style w:type="character" w:customStyle="1" w:styleId="apple-converted-space">
    <w:name w:val="apple-converted-space"/>
  </w:style>
  <w:style w:type="paragraph" w:styleId="ListParagraph">
    <w:name w:val="List Paragraph"/>
    <w:basedOn w:val="Normal"/>
    <w:uiPriority w:val="34"/>
    <w:qFormat/>
    <w:pPr>
      <w:ind w:left="720"/>
    </w:pPr>
  </w:style>
  <w:style w:type="character" w:styleId="PlaceholderText">
    <w:name w:val="Placeholder Text"/>
    <w:basedOn w:val="DefaultParagraphFont"/>
    <w:rPr>
      <w:color w:val="808080"/>
    </w:rPr>
  </w:style>
  <w:style w:type="paragraph" w:styleId="Revision">
    <w:name w:val="Revision"/>
    <w:pPr>
      <w:suppressAutoHyphens/>
    </w:pPr>
    <w:rPr>
      <w:sz w:val="22"/>
      <w:szCs w:val="24"/>
    </w:rPr>
  </w:style>
  <w:style w:type="paragraph" w:customStyle="1" w:styleId="TableParagraph">
    <w:name w:val="Table Paragraph"/>
    <w:basedOn w:val="Normal"/>
    <w:pPr>
      <w:autoSpaceDE w:val="0"/>
      <w:spacing w:before="126" w:after="0"/>
      <w:ind w:left="103"/>
      <w:jc w:val="left"/>
    </w:pPr>
    <w:rPr>
      <w:sz w:val="24"/>
    </w:rPr>
  </w:style>
  <w:style w:type="paragraph" w:styleId="EndnoteText">
    <w:name w:val="endnote text"/>
    <w:basedOn w:val="Normal"/>
    <w:pPr>
      <w:spacing w:after="0"/>
    </w:pPr>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2">
    <w:name w:val="LFO2"/>
    <w:basedOn w:val="NoList"/>
    <w:pPr>
      <w:numPr>
        <w:numId w:val="6"/>
      </w:numPr>
    </w:pPr>
  </w:style>
  <w:style w:type="numbering" w:customStyle="1" w:styleId="LFO4">
    <w:name w:val="LFO4"/>
    <w:basedOn w:val="NoList"/>
    <w:pPr>
      <w:numPr>
        <w:numId w:val="7"/>
      </w:numPr>
    </w:pPr>
  </w:style>
  <w:style w:type="numbering" w:customStyle="1" w:styleId="LFO5">
    <w:name w:val="LFO5"/>
    <w:basedOn w:val="NoList"/>
    <w:pPr>
      <w:numPr>
        <w:numId w:val="8"/>
      </w:numPr>
    </w:pPr>
  </w:style>
  <w:style w:type="numbering" w:customStyle="1" w:styleId="LFO6">
    <w:name w:val="LFO6"/>
    <w:basedOn w:val="NoList"/>
    <w:pPr>
      <w:numPr>
        <w:numId w:val="9"/>
      </w:numPr>
    </w:pPr>
  </w:style>
  <w:style w:type="character" w:customStyle="1" w:styleId="normaltextrun">
    <w:name w:val="normaltextrun"/>
    <w:basedOn w:val="DefaultParagraphFont"/>
    <w:rsid w:val="004D0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jc w:val="both"/>
    </w:pPr>
    <w:rPr>
      <w:sz w:val="22"/>
      <w:szCs w:val="24"/>
    </w:rPr>
  </w:style>
  <w:style w:type="paragraph" w:styleId="Heading1">
    <w:name w:val="heading 1"/>
    <w:basedOn w:val="Normal"/>
    <w:next w:val="Normal"/>
    <w:uiPriority w:val="9"/>
    <w:qFormat/>
    <w:pPr>
      <w:keepNext/>
      <w:numPr>
        <w:numId w:val="1"/>
      </w:numPr>
      <w:pBdr>
        <w:bottom w:val="single" w:sz="12" w:space="1" w:color="000000"/>
      </w:pBdr>
      <w:tabs>
        <w:tab w:val="right" w:pos="8568"/>
      </w:tabs>
      <w:spacing w:before="1300" w:after="540"/>
      <w:outlineLvl w:val="0"/>
    </w:pPr>
    <w:rPr>
      <w:b/>
      <w:kern w:val="3"/>
      <w:sz w:val="26"/>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b/>
      <w:bCs/>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styleId="Header">
    <w:name w:val="header"/>
    <w:basedOn w:val="Normal"/>
    <w:pPr>
      <w:tabs>
        <w:tab w:val="center" w:pos="4320"/>
        <w:tab w:val="right" w:pos="8640"/>
      </w:tabs>
    </w:pPr>
  </w:style>
  <w:style w:type="paragraph" w:customStyle="1" w:styleId="6LOH">
    <w:name w:val="6LOH"/>
    <w:basedOn w:val="Normal"/>
    <w:pPr>
      <w:keepNext/>
      <w:spacing w:after="0"/>
      <w:ind w:left="360"/>
    </w:pPr>
    <w:rPr>
      <w:i/>
    </w:rPr>
  </w:style>
  <w:style w:type="paragraph" w:customStyle="1" w:styleId="2LOH">
    <w:name w:val="2LOH"/>
    <w:next w:val="Normal"/>
    <w:pPr>
      <w:keepNext/>
      <w:suppressAutoHyphens/>
      <w:spacing w:before="120" w:after="160"/>
    </w:pPr>
    <w:rPr>
      <w:b/>
      <w:caps/>
      <w:sz w:val="26"/>
    </w:rPr>
  </w:style>
  <w:style w:type="paragraph" w:customStyle="1" w:styleId="3LOH">
    <w:name w:val="3LOH"/>
    <w:next w:val="Normal"/>
    <w:pPr>
      <w:keepNext/>
      <w:suppressAutoHyphens/>
      <w:spacing w:before="120" w:after="140"/>
    </w:pPr>
    <w:rPr>
      <w:b/>
      <w:caps/>
      <w:sz w:val="22"/>
    </w:rPr>
  </w:style>
  <w:style w:type="paragraph" w:customStyle="1" w:styleId="4LOH">
    <w:name w:val="4LOH"/>
    <w:next w:val="Normal"/>
    <w:pPr>
      <w:keepNext/>
      <w:suppressAutoHyphens/>
      <w:spacing w:before="120" w:after="140"/>
    </w:pPr>
    <w:rPr>
      <w:i/>
      <w:caps/>
      <w:sz w:val="22"/>
    </w:rPr>
  </w:style>
  <w:style w:type="paragraph" w:customStyle="1" w:styleId="5LOH">
    <w:name w:val="5LOH"/>
    <w:next w:val="Normal"/>
    <w:pPr>
      <w:keepNext/>
      <w:suppressAutoHyphens/>
      <w:spacing w:before="60" w:after="100"/>
    </w:pPr>
    <w:rPr>
      <w:i/>
      <w:sz w:val="22"/>
    </w:rPr>
  </w:style>
  <w:style w:type="paragraph" w:styleId="TOC1">
    <w:name w:val="toc 1"/>
    <w:basedOn w:val="Normal"/>
    <w:next w:val="Normal"/>
    <w:autoRedefine/>
  </w:style>
  <w:style w:type="paragraph" w:styleId="FootnoteText">
    <w:name w:val="footnote text"/>
    <w:basedOn w:val="Normal"/>
    <w:autoRedefine/>
    <w:pPr>
      <w:tabs>
        <w:tab w:val="left" w:pos="288"/>
      </w:tabs>
      <w:ind w:left="144" w:hanging="144"/>
    </w:pPr>
    <w:rPr>
      <w:sz w:val="20"/>
      <w:szCs w:val="20"/>
    </w:rPr>
  </w:style>
  <w:style w:type="paragraph" w:styleId="Footer">
    <w:name w:val="footer"/>
    <w:basedOn w:val="Normal"/>
    <w:pPr>
      <w:tabs>
        <w:tab w:val="center" w:pos="4320"/>
        <w:tab w:val="right" w:pos="8640"/>
      </w:tabs>
    </w:pPr>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character" w:styleId="Hyperlink">
    <w:name w:val="Hyperlink"/>
    <w:rPr>
      <w:color w:val="0000FF"/>
      <w:u w:val="single"/>
    </w:rPr>
  </w:style>
  <w:style w:type="character" w:styleId="FootnoteReference">
    <w:name w:val="footnote reference"/>
    <w:rPr>
      <w:position w:val="0"/>
      <w:vertAlign w:val="superscript"/>
    </w:rPr>
  </w:style>
  <w:style w:type="paragraph" w:customStyle="1" w:styleId="TableTitle">
    <w:name w:val="Table Title"/>
    <w:pPr>
      <w:suppressAutoHyphens/>
      <w:jc w:val="right"/>
    </w:pPr>
    <w:rPr>
      <w:b/>
      <w:sz w:val="24"/>
    </w:rPr>
  </w:style>
  <w:style w:type="paragraph" w:customStyle="1" w:styleId="number">
    <w:name w:val="number"/>
    <w:basedOn w:val="Normal"/>
  </w:style>
  <w:style w:type="paragraph" w:customStyle="1" w:styleId="numberList">
    <w:name w:val="numberList"/>
    <w:basedOn w:val="number"/>
    <w:pPr>
      <w:numPr>
        <w:numId w:val="7"/>
      </w:numPr>
      <w:tabs>
        <w:tab w:val="left" w:pos="-720"/>
      </w:tabs>
      <w:spacing w:after="0"/>
    </w:pPr>
  </w:style>
  <w:style w:type="paragraph" w:customStyle="1" w:styleId="Bullet2">
    <w:name w:val="Bullet2"/>
    <w:basedOn w:val="number"/>
    <w:pPr>
      <w:numPr>
        <w:numId w:val="5"/>
      </w:numPr>
    </w:pPr>
  </w:style>
  <w:style w:type="paragraph" w:customStyle="1" w:styleId="TableHead">
    <w:name w:val="TableHead"/>
    <w:pPr>
      <w:suppressAutoHyphens/>
      <w:spacing w:before="40"/>
      <w:jc w:val="center"/>
    </w:pPr>
    <w:rPr>
      <w:rFonts w:ascii="Arial" w:hAnsi="Arial"/>
      <w:b/>
      <w:sz w:val="18"/>
    </w:rPr>
  </w:style>
  <w:style w:type="paragraph" w:customStyle="1" w:styleId="TableText">
    <w:name w:val="TableText"/>
    <w:pPr>
      <w:suppressAutoHyphens/>
      <w:spacing w:before="40"/>
      <w:ind w:left="29"/>
      <w:jc w:val="center"/>
    </w:pPr>
    <w:rPr>
      <w:rFonts w:ascii="Arial" w:hAnsi="Arial"/>
      <w:sz w:val="18"/>
    </w:rPr>
  </w:style>
  <w:style w:type="paragraph" w:styleId="TableofFigures">
    <w:name w:val="table of figures"/>
    <w:basedOn w:val="Normal"/>
    <w:next w:val="Normal"/>
    <w:pPr>
      <w:ind w:left="440" w:hanging="440"/>
    </w:pPr>
    <w:rPr>
      <w:caps/>
    </w:rPr>
  </w:style>
  <w:style w:type="paragraph" w:customStyle="1" w:styleId="Comment">
    <w:name w:val="Comment"/>
    <w:basedOn w:val="Normal"/>
    <w:next w:val="Normal"/>
    <w:pPr>
      <w:numPr>
        <w:numId w:val="6"/>
      </w:numPr>
      <w:spacing w:before="240" w:line="264" w:lineRule="auto"/>
    </w:pPr>
    <w:rPr>
      <w:szCs w:val="20"/>
    </w:rPr>
  </w:style>
  <w:style w:type="paragraph" w:customStyle="1" w:styleId="Response">
    <w:name w:val="Response"/>
    <w:basedOn w:val="Normal"/>
    <w:next w:val="Comment"/>
    <w:pPr>
      <w:numPr>
        <w:numId w:val="8"/>
      </w:numPr>
      <w:spacing w:line="264" w:lineRule="auto"/>
    </w:pPr>
    <w:rPr>
      <w:szCs w:val="20"/>
    </w:rPr>
  </w:style>
  <w:style w:type="paragraph" w:styleId="NormalWeb">
    <w:name w:val="Normal (Web)"/>
    <w:basedOn w:val="Normal"/>
    <w:pPr>
      <w:spacing w:before="100" w:after="100"/>
      <w:jc w:val="left"/>
    </w:pPr>
    <w:rPr>
      <w:color w:val="000000"/>
      <w:sz w:val="24"/>
    </w:rPr>
  </w:style>
  <w:style w:type="character" w:customStyle="1" w:styleId="7LOH">
    <w:name w:val="7LOH"/>
    <w:rPr>
      <w:rFonts w:ascii="Times New Roman" w:hAnsi="Times New Roman"/>
      <w:i/>
      <w:strike w:val="0"/>
      <w:dstrike w:val="0"/>
      <w:color w:val="auto"/>
      <w:position w:val="0"/>
      <w:sz w:val="22"/>
      <w:u w:val="none"/>
      <w:vertAlign w:val="baseline"/>
    </w:rPr>
  </w:style>
  <w:style w:type="paragraph" w:customStyle="1" w:styleId="CommentResponseAdditionalParagraph">
    <w:name w:val="Comment/Response Additional Paragraph"/>
    <w:basedOn w:val="Normal"/>
    <w:pPr>
      <w:spacing w:line="264" w:lineRule="auto"/>
      <w:ind w:left="1440"/>
    </w:pPr>
  </w:style>
  <w:style w:type="paragraph" w:styleId="BalloonText">
    <w:name w:val="Balloon Text"/>
    <w:basedOn w:val="Normal"/>
    <w:rPr>
      <w:rFonts w:ascii="Tahoma" w:hAnsi="Tahoma" w:cs="Tahoma"/>
      <w:sz w:val="16"/>
      <w:szCs w:val="16"/>
    </w:rPr>
  </w:style>
  <w:style w:type="paragraph" w:styleId="BodyText">
    <w:name w:val="Body Text"/>
    <w:basedOn w:val="Normal"/>
    <w:rPr>
      <w:color w:val="33CCCC"/>
    </w:rPr>
  </w:style>
  <w:style w:type="paragraph" w:styleId="BodyText2">
    <w:name w:val="Body Text 2"/>
    <w:basedOn w:val="Normal"/>
    <w:rPr>
      <w:color w:val="0000FF"/>
    </w:rPr>
  </w:style>
  <w:style w:type="paragraph" w:styleId="BodyText3">
    <w:name w:val="Body Text 3"/>
    <w:basedOn w:val="Normal"/>
    <w:rPr>
      <w:color w:val="FF0000"/>
    </w:rPr>
  </w:style>
  <w:style w:type="paragraph" w:customStyle="1" w:styleId="Bullet">
    <w:name w:val="Bullet"/>
    <w:basedOn w:val="Normal"/>
    <w:pPr>
      <w:numPr>
        <w:numId w:val="9"/>
      </w:numPr>
      <w:tabs>
        <w:tab w:val="left" w:pos="-1800"/>
      </w:tabs>
      <w:spacing w:after="60"/>
    </w:pPr>
    <w:rPr>
      <w:rFonts w:ascii="Times" w:hAnsi="Times"/>
      <w:szCs w:val="22"/>
    </w:rPr>
  </w:style>
  <w:style w:type="character" w:styleId="FollowedHyperlink">
    <w:name w:val="FollowedHyperlink"/>
    <w:rPr>
      <w:color w:val="800080"/>
      <w:u w:val="single"/>
    </w:r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GTDocID">
    <w:name w:val="GT DocID"/>
    <w:basedOn w:val="Normal"/>
    <w:pPr>
      <w:spacing w:after="200" w:line="276" w:lineRule="auto"/>
      <w:jc w:val="left"/>
    </w:pPr>
    <w:rPr>
      <w:rFonts w:ascii="Arial" w:eastAsia="Calibri" w:hAnsi="Arial"/>
      <w:i/>
      <w:sz w:val="16"/>
      <w:szCs w:val="22"/>
    </w:rPr>
  </w:style>
  <w:style w:type="character" w:customStyle="1" w:styleId="GTDocIDChar">
    <w:name w:val="GT DocID Char"/>
    <w:rPr>
      <w:rFonts w:ascii="Arial" w:eastAsia="Calibri" w:hAnsi="Arial"/>
      <w:i/>
      <w:sz w:val="16"/>
      <w:szCs w:val="22"/>
    </w:rPr>
  </w:style>
  <w:style w:type="character" w:customStyle="1" w:styleId="apple-converted-space">
    <w:name w:val="apple-converted-space"/>
  </w:style>
  <w:style w:type="paragraph" w:styleId="ListParagraph">
    <w:name w:val="List Paragraph"/>
    <w:basedOn w:val="Normal"/>
    <w:uiPriority w:val="34"/>
    <w:qFormat/>
    <w:pPr>
      <w:ind w:left="720"/>
    </w:pPr>
  </w:style>
  <w:style w:type="character" w:styleId="PlaceholderText">
    <w:name w:val="Placeholder Text"/>
    <w:basedOn w:val="DefaultParagraphFont"/>
    <w:rPr>
      <w:color w:val="808080"/>
    </w:rPr>
  </w:style>
  <w:style w:type="paragraph" w:styleId="Revision">
    <w:name w:val="Revision"/>
    <w:pPr>
      <w:suppressAutoHyphens/>
    </w:pPr>
    <w:rPr>
      <w:sz w:val="22"/>
      <w:szCs w:val="24"/>
    </w:rPr>
  </w:style>
  <w:style w:type="paragraph" w:customStyle="1" w:styleId="TableParagraph">
    <w:name w:val="Table Paragraph"/>
    <w:basedOn w:val="Normal"/>
    <w:pPr>
      <w:autoSpaceDE w:val="0"/>
      <w:spacing w:before="126" w:after="0"/>
      <w:ind w:left="103"/>
      <w:jc w:val="left"/>
    </w:pPr>
    <w:rPr>
      <w:sz w:val="24"/>
    </w:rPr>
  </w:style>
  <w:style w:type="paragraph" w:styleId="EndnoteText">
    <w:name w:val="endnote text"/>
    <w:basedOn w:val="Normal"/>
    <w:pPr>
      <w:spacing w:after="0"/>
    </w:pPr>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2">
    <w:name w:val="LFO2"/>
    <w:basedOn w:val="NoList"/>
    <w:pPr>
      <w:numPr>
        <w:numId w:val="6"/>
      </w:numPr>
    </w:pPr>
  </w:style>
  <w:style w:type="numbering" w:customStyle="1" w:styleId="LFO4">
    <w:name w:val="LFO4"/>
    <w:basedOn w:val="NoList"/>
    <w:pPr>
      <w:numPr>
        <w:numId w:val="7"/>
      </w:numPr>
    </w:pPr>
  </w:style>
  <w:style w:type="numbering" w:customStyle="1" w:styleId="LFO5">
    <w:name w:val="LFO5"/>
    <w:basedOn w:val="NoList"/>
    <w:pPr>
      <w:numPr>
        <w:numId w:val="8"/>
      </w:numPr>
    </w:pPr>
  </w:style>
  <w:style w:type="numbering" w:customStyle="1" w:styleId="LFO6">
    <w:name w:val="LFO6"/>
    <w:basedOn w:val="NoList"/>
    <w:pPr>
      <w:numPr>
        <w:numId w:val="9"/>
      </w:numPr>
    </w:pPr>
  </w:style>
  <w:style w:type="character" w:customStyle="1" w:styleId="normaltextrun">
    <w:name w:val="normaltextrun"/>
    <w:basedOn w:val="DefaultParagraphFont"/>
    <w:rsid w:val="004D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ris.parks.ny.gov/" TargetMode="External"/><Relationship Id="rId1" Type="http://schemas.openxmlformats.org/officeDocument/2006/relationships/hyperlink" Target="http://dec.ny.gov/permits_ej_operations_pdf/visual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1F9A6E681C2419632415B00546C10" ma:contentTypeVersion="4" ma:contentTypeDescription="Create a new document." ma:contentTypeScope="" ma:versionID="b54a155e8ee5c339aeb49f92af9c601e">
  <xsd:schema xmlns:xsd="http://www.w3.org/2001/XMLSchema" xmlns:xs="http://www.w3.org/2001/XMLSchema" xmlns:p="http://schemas.microsoft.com/office/2006/metadata/properties" xmlns:ns2="80b4c340-d74f-4b78-bde2-4244e7d4c8c2" xmlns:ns3="6d90a9b6-0c07-4132-b775-e3f879db5356" targetNamespace="http://schemas.microsoft.com/office/2006/metadata/properties" ma:root="true" ma:fieldsID="73529dfcc6d43267b8716737cae74a86" ns2:_="" ns3:_="">
    <xsd:import namespace="80b4c340-d74f-4b78-bde2-4244e7d4c8c2"/>
    <xsd:import namespace="6d90a9b6-0c07-4132-b775-e3f879db5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c340-d74f-4b78-bde2-4244e7d4c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0a9b6-0c07-4132-b775-e3f879db53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6CEFE-4F03-4164-A719-EA11136F4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4c340-d74f-4b78-bde2-4244e7d4c8c2"/>
    <ds:schemaRef ds:uri="6d90a9b6-0c07-4132-b775-e3f879db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A3BA0-BC51-43C4-9244-3E6BAA9DB40C}">
  <ds:schemaRefs>
    <ds:schemaRef ds:uri="http://schemas.microsoft.com/sharepoint/v3/contenttype/forms"/>
  </ds:schemaRefs>
</ds:datastoreItem>
</file>

<file path=customXml/itemProps3.xml><?xml version="1.0" encoding="utf-8"?>
<ds:datastoreItem xmlns:ds="http://schemas.openxmlformats.org/officeDocument/2006/customXml" ds:itemID="{CB022237-D29D-4C80-A750-824E12204F3B}">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6d90a9b6-0c07-4132-b775-e3f879db5356"/>
    <ds:schemaRef ds:uri="80b4c340-d74f-4b78-bde2-4244e7d4c8c2"/>
    <ds:schemaRef ds:uri="http://schemas.microsoft.com/office/2006/metadata/properties"/>
  </ds:schemaRefs>
</ds:datastoreItem>
</file>

<file path=customXml/itemProps4.xml><?xml version="1.0" encoding="utf-8"?>
<ds:datastoreItem xmlns:ds="http://schemas.openxmlformats.org/officeDocument/2006/customXml" ds:itemID="{D6EBAA4E-88D3-4AF9-8D55-6CE34BFE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PSEGLI</Company>
  <LinksUpToDate>false</LinksUpToDate>
  <CharactersWithSpaces>17546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Jessica</dc:creator>
  <cp:lastModifiedBy>Mathew, Jessica</cp:lastModifiedBy>
  <cp:revision>2</cp:revision>
  <dcterms:created xsi:type="dcterms:W3CDTF">2019-04-19T15:23:00Z</dcterms:created>
  <dcterms:modified xsi:type="dcterms:W3CDTF">2019-04-19T15:23:00Z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gFAA5ajW4yTOEjuEOgEBZOToa3FFfGSJjCO76Hc7jXERieNHaibTi/FTkGctWM7dPnjLp1uDF5W+TDlw_x000d_
JJ1+4gaor1QUD6w6DT+PzhliQTkjoXGZsjs24WGn71wmCYDizGQ+aTkdr3pomWhwJJ1+4gaor1QU_x000d_
D6w6DT+PzhliQTkjoXGZsjs24WGn73j6+hyQeIn5TFXOnI//JxuD/31ZWSiKY4V+Ipl0IxKB4TNa_x000d_
LYr2LyC2WEapKUPQk</vt:lpwstr>
  </property>
  <property fmtid="{D5CDD505-2E9C-101B-9397-08002B2CF9AE}" pid="3" name="MAIL_MSG_ID2">
    <vt:lpwstr>hI3VEjO3HlJeu4aLHJCEE6bsuW7Of1uMgCOhaKeTA6D/aZDmvrJPW8WkEcr_x000d_
mJK25R9RTVUCDutD63Da+dGGyqHuxrRnHCjn6A==</vt:lpwstr>
  </property>
  <property fmtid="{D5CDD505-2E9C-101B-9397-08002B2CF9AE}" pid="4" name="RESPONSE_SENDER_NAME">
    <vt:lpwstr>sAAAb0xRtPDW5UuSsBlmHdBV0OCzf3xvHktS+gW2UgZ/oSY=</vt:lpwstr>
  </property>
  <property fmtid="{D5CDD505-2E9C-101B-9397-08002B2CF9AE}" pid="5" name="EMAIL_OWNER_ADDRESS">
    <vt:lpwstr>sAAAGYoQX4c3X/LboW13J0JkVsTAA3fEziGhRN1JY2hcNGY=</vt:lpwstr>
  </property>
  <property fmtid="{D5CDD505-2E9C-101B-9397-08002B2CF9AE}" pid="6" name="WS_TRACKING_ID">
    <vt:lpwstr>941e29b6-df73-4425-838e-1abe76d12360</vt:lpwstr>
  </property>
  <property fmtid="{D5CDD505-2E9C-101B-9397-08002B2CF9AE}" pid="7" name="ContentTypeId">
    <vt:lpwstr>0x01010078E1F9A6E681C2419632415B00546C10</vt:lpwstr>
  </property>
  <property fmtid="{D5CDD505-2E9C-101B-9397-08002B2CF9AE}" pid="8" name="AuthorIds_UIVersion_1536">
    <vt:lpwstr>11</vt:lpwstr>
  </property>
</Properties>
</file>